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CRMD</w:t>
      </w:r>
      <w:r>
        <w:rPr>
          <w:rFonts w:ascii="Calibri" w:hAnsi="Calibri"/>
          <w:b/>
          <w:color w:val="1A2010"/>
          <w:sz w:val="40"/>
        </w:rPr>
        <w:t xml:space="preserve">  CorMedix Inc.</w:t>
      </w:r>
    </w:p>
    <w:p>
      <w:pPr>
        <w:spacing w:after="120"/>
      </w:pPr>
      <w:r>
        <w:rPr>
          <w:rFonts w:ascii="Calibri" w:hAnsi="Calibri"/>
          <w:b/>
          <w:color w:val="6E8450"/>
          <w:sz w:val="18"/>
        </w:rPr>
        <w:t>GROWTH SLEEVE · 2026-07-11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NasdaqGM · United States</w:t>
      </w:r>
    </w:p>
    <w:p>
      <w:pPr>
        <w:spacing w:after="80"/>
      </w:pPr>
      <w:r>
        <w:rPr>
          <w:rFonts w:ascii="Calibri" w:hAnsi="Calibri"/>
          <w:b w:val="0"/>
          <w:color w:val="3A4A28"/>
          <w:sz w:val="20"/>
        </w:rPr>
        <w:t>CorMedix Inc. is a diversified specialty pharmaceutical company focused on institutional settings of care. The company's lead product DefenCath (taurolidine/heparin catheter lock solution) is FDA-approved for reducing catheter-related bloodstream infections in hemodialysis patients. Following the August 2025 acquisition of Melinta Therapeutics, CorMedix also commercializes REZZAYO (rezafungin), MINOCIN, VABOMERE, ORBACTIV, BAXDELA, and KIMYRSA -- a portfolio of hospital-focused anti-infective products. Headquartered in Berkeley Heights, New Jersey.</w:t>
      </w:r>
    </w:p>
    <w:p>
      <w:r>
        <w:rPr>
          <w:rFonts w:ascii="Calibri" w:hAnsi="Calibri"/>
          <w:b/>
          <w:color w:val="6E8450"/>
          <w:sz w:val="18"/>
        </w:rPr>
        <w:t>191 Employees · https://www.cormedix.com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CorMedix has executed one of the most remarkable commercialization ramp-ups in recent biopharma history, growing quarterly revenue from $39.1M (Q1 2025) to $127.4M (Q1 2026) -- a 226% increase driven by DefenCath adoption after onboarding a large dialysis organization in mid-2025 [1][2]. The August 2025 Melinta Therapeutics acquisition transformed CorMedix from a single-product company to a diversified specialty pharma platform with multiple marketed anti-infective products. Management achieved ~$35M in annualized operational synergies from the Melinta integration [3]. Net income reached $38.6M in Q1 2026 with adjusted EBITDA of $70.0M. AI Deployment (0/2): No significant AI deployment identified for this small specialty pharmaceutical company. Market Share (2/2): DefenCath is a first-in-class catheter lock solution with no direct FDA-approved competitors, giving it effective monopoly positioning in the hemodialysis catheter lock market [2]. REZZAYO achieved positive Phase III results for invasive fungal disease prophylaxis, targeting a $2B+ U.S. market opportunity [4]. Product Pipeline (2/2): REZZAYO Phase III ReSPECT trial showed positive topline results (60.7% fungal-free survival vs 59.0% standard of care) for HSCT prophylaxis, with sNDA submission planned for H2 2026 [4]. DefenCath expansion studies ongoing for Total Parenteral Nutrition and pediatric populations. The full Melinta portfolio (MINOCIN, VABOMERE, ORBACTIV, BAXDELA, KIMYRSA) provides revenue diversification [3]. R&amp;D Intensity (1/1): Active clinical programs across multiple indications including REZZAYO prophylaxis, DefenCath TPN, and DefenCath pediatric studies.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CorMedix's purpose of preventing life-threatening infections in the most vulnerable patient populations -- hemodialysis patients dependent on central venous catheters and immunocompromised patients at risk of invasive fungal disease -- is validated by the direct, measurable clinical impact of its products [2]. Catheter-related bloodstream infections (CRBSIs) are a leading cause of morbidity and mortality in hemodialysis patients, and DefenCath is the only FDA-approved catheter lock solution specifically designed to prevent them. REZZAYO addresses invasive fungal infections in stem cell transplant patients, another critically vulnerable population. The mission directly saves lives in institutional care settings. Community Impact (1/2): DefenCath directly improves outcomes for the ~500,000 U.S. hemodialysis patients, many of whom are in underserved populations [2]. The expanded Melinta portfolio serves hospital-based anti-infective needs. However, no standalone community programs were identified. Employee Retention (1/2): Small team of 191 employees navigating rapid growth from pre-revenue to $127M+ quarterly revenue. Successfully integrating Melinta's commercial operations demonstrates organizational capability [3]. Insider Buying (0/2): No notable recent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$127.4M net revenue ($97.5M DefenCath + $29.9M Melinta portfolio) with net income of $38.6M and adjusted EBITDA of $70.0M [1]. The financial profile is exceptionally clean for a growth-stage biopharma: D/E of 33.7% reflects conservative financing, ROE of 65.59% demonstrates high capital efficiency, and profit margin of 45.25% is outstanding -- reflecting DefenCath's premium pricing under TDAPA reimbursement [5]. Revenue growth of 226.1% and EPS growth of 87.0% are extraordinary [5]. Management raised 2026 guidance to $325-345M revenue and $115-135M adjusted EBITDA, up from the prior $300-320M range [1]. The trailing P/E of 3.95 appears extremely cheap, though the forward P/E of 23.71 reflects expected TDAPA reimbursement headwinds in H2 2026 that will compress margins [3]. D/E of 33.7% is very conservative. Average daily volume of 1.33M shares at $8.30 provides adequate liquidity ($11.0M daily turnover,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CorMedix demonstrates meaningful infinite game qualities through its decade-long commitment to bringing DefenCath from concept through clinical trials to successful commercialization -- a journey that required patience, persistence, and belief in the clinical mission when financial results were absent. The Melinta acquisition and REZZAYO prophylaxis expansion show strategic ambition beyond a single-product model. However, the company's small size (191 employees), reimbursement dependency (TDAPA expiration), and concentration risk in DefenCath create vulnerability to external forces that constrain infinite 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CorMedix's mission of preventing life-threatening infections in vulnerable patient populations is among the most genuinely purposeful in the pharmaceutical industry [2]. Catheter-related bloodstream infections kill thousands of hemodialysis patients annually, and DefenCath is the only FDA-approved solution specifically designed to prevent them. The expansion into invasive fungal disease prophylaxis (REZZAYO) and the broader Melinta anti-infective portfolio further validate the infection prevention mission. The decade-long development journey from pre-clinical to $127M quarterly revenue demonstrates purpose-driven persistence.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191 employees, CorMedix's team has navigated extraordinary growth -- from a pre-revenue development-stage company to a $500M+ annualized revenue specialty pharma. The successful Melinta integration (~$35M in synergies) required effective team coordination across two organizations [3]. However, the small size means limited organizational depth, and rapid growth from acquisition can strain cultural cohesion. No specific employee engagement metrics or cultural programs were publicly reported.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CorMedix operates in a space where DefenCath has no direct FDA-approved competitors, limiting the traditional worthy rivals dynamic [2]. The company competes more broadly with the standard-of-care (heparin alone) and potentially with future entrants. In the anti-infective market (Melinta portfolio), CorMedix competes with established players like Pfizer, Merck, and Shionogi. The company has not publicly articulated how it uses competitive dynamics to improve.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CorMedix executed a transformative pivot in 2025, evolving from a single-product company (DefenCath) to a diversified specialty pharma platform through the Melinta acquisition [3]. This demonstrated willingness to fundamentally change the business model when the opportunity arose. The REZZAYO prophylaxis expansion (targeting a $2B+ market) represents another potential business model transformation [4]. These pivots were driven by the core infection prevention mission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CorMedix bet the company on DefenCath through years of clinical development, FDA review, and commercialization without revenue -- a genuinely courageous bet that required faith in the clinical mission [2]. The Melinta acquisition was a bold move for a company of CorMedix's size, tripling the product portfolio and employee count. Pursuing REZZAYO prophylaxis (sNDA submission H2 2026) while managing the TDAPA reimbursement transition demonstrates willingness to invest in long-term growth during a period of near-term uncertainty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CorMedix has executed one of the most impressive commercialization stories in recent biopharma: DefenCath revenue ramped from near-zero to $97.5M in a single quarter, and the Melinta acquisition added $29.9M quarterly, bringing Q1 2026 total revenue to $127.4M with $38.6M net income and $70.0M adjusted EBITDA [1]. The raised 2026 guidance of $325-345M revenue and $115-135M adjusted EBITDA reflects confidence in the growth trajectory [1]. The balance sheet is conservative (33.7% D/E) with exceptional profitability metrics (45.25% PM, 65.59% ROE) [5]. REZZAYO's positive Phase III prophylaxis data targeting a $2B+ market opportunity could be transformative if approved, with sNDA submission planned for H2 2026 [4]. DefenCath's first-in-class positioning with no direct FDA-approved competitors provides pricing power and market dominance.</w:t>
      </w:r>
    </w:p>
    <w:p>
      <w:pPr>
        <w:spacing w:after="120"/>
      </w:pPr>
      <w:r>
        <w:rPr>
          <w:rFonts w:ascii="Calibri" w:hAnsi="Calibri"/>
          <w:b w:val="0"/>
          <w:color w:val="3A4A28"/>
          <w:sz w:val="20"/>
        </w:rPr>
        <w:t>The critical near-term risk is the DefenCath TDAPA reimbursement transition on July 1, 2026 [3]. CMS will shift to a post-TDAPA Add-On Adjustment using an older utilization period, which management has described as 'subpar' relative to current utilization -- this is expected to reduce net pricing in Q3 and Q4 2026, potentially compressing margins significantly. The jump from 3.95x trailing P/E to 23.71x forward P/E directly reflects this expected compression [5]. Management plans to mitigate through temporary price concessions, customer negotiations, and volume growth from remaining large customers, but the magnitude of the pricing impact is uncertain. Additionally, Q1 2026 DefenCath revenue included a non-recurring $9.0M benefit from a change in estimate for sales allowances, inflating the baseline [1]. The REZZAYO Phase III showed only marginal efficacy improvement (60.7% vs 59.0% fungal-free survival), which may face regulatory or commercial scrutiny despite meeting endpoints [4]. Concentration in DefenCath (77% of Q1 revenue) and dependency on a small number of large dialysis organizations create customer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REZZAYO sNDA submission for invasive fungal disease prophylaxis in H2 2026 targeting a $2B+ U.S. market, with potential approval creating a second major revenue pillar alongside DefenCath [4]</w:t>
      </w:r>
    </w:p>
    <w:p>
      <w:pPr>
        <w:spacing w:before="40" w:after="40"/>
        <w:ind w:left="283"/>
      </w:pPr>
      <w:r>
        <w:rPr>
          <w:rFonts w:ascii="Calibri" w:hAnsi="Calibri"/>
          <w:b/>
          <w:color w:val="4A6B25"/>
          <w:sz w:val="20"/>
        </w:rPr>
        <w:t xml:space="preserve">2. </w:t>
      </w:r>
      <w:r>
        <w:rPr>
          <w:rFonts w:ascii="Calibri" w:hAnsi="Calibri"/>
          <w:b w:val="0"/>
          <w:color w:val="3A4A28"/>
          <w:sz w:val="20"/>
        </w:rPr>
        <w:t>DefenCath volume growth from onboarding remaining large dialysis organizations and expanding Medicare Advantage contracting to offset TDAPA pricing headwinds [3]</w:t>
      </w:r>
    </w:p>
    <w:p>
      <w:pPr>
        <w:spacing w:before="40" w:after="40"/>
        <w:ind w:left="283"/>
      </w:pPr>
      <w:r>
        <w:rPr>
          <w:rFonts w:ascii="Calibri" w:hAnsi="Calibri"/>
          <w:b/>
          <w:color w:val="4A6B25"/>
          <w:sz w:val="20"/>
        </w:rPr>
        <w:t xml:space="preserve">3. </w:t>
      </w:r>
      <w:r>
        <w:rPr>
          <w:rFonts w:ascii="Calibri" w:hAnsi="Calibri"/>
          <w:b w:val="0"/>
          <w:color w:val="3A4A28"/>
          <w:sz w:val="20"/>
        </w:rPr>
        <w:t>DefenCath clinical expansion into Total Parenteral Nutrition and pediatric populations, broadening the addressable market beyond the current hemodialysis catheter lock indication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DefenCath TDAPA reimbursement transition on July 1, 2026 expected to reduce net pricing in H2 2026, with CMS using an older utilization period described as 'subpar' -- magnitude of margin compression is uncertain [3]</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DefenCath revenue is heavily dependent on a small number of large dialysis organizations, and loss or reduced purchasing from any major customer could materially impact results [1]</w:t>
      </w:r>
    </w:p>
    <w:p>
      <w:pPr>
        <w:spacing w:before="40" w:after="40"/>
        <w:ind w:left="283"/>
      </w:pPr>
      <w:r>
        <w:rPr>
          <w:rFonts w:ascii="Calibri" w:hAnsi="Calibri"/>
          <w:b/>
          <w:color w:val="4A6B25"/>
          <w:sz w:val="20"/>
        </w:rPr>
        <w:t xml:space="preserve">3. </w:t>
      </w:r>
      <w:r>
        <w:rPr>
          <w:rFonts w:ascii="Calibri" w:hAnsi="Calibri"/>
          <w:b w:val="0"/>
          <w:color w:val="3A4A28"/>
          <w:sz w:val="20"/>
        </w:rPr>
        <w:t>REZZAYO Phase III showed marginal efficacy improvement (60.7% vs 59.0% fungal-free survival) that may face regulatory or commercial skepticism despite meeting primary endpoints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CorMedix's business is among the most AI-insulated in the healthcare sector. DefenCath is a physical pharmaceutical product (taurolidine/heparin solution) that requires FDA approval, GMP manufacturing, and physical distribution to dialysis centers -- none of which AI can substitute or disrupt [2]. The catheter lock solution market requires deep regulatory expertise (FDA drug approval), clinical trial infrastructure, and established distribution relationships with large dialysis organizations (DaVita, Fresenius). REZZAYO (IV antifungal) and the Melinta anti-infective portfolio face identical physical and regulatory barriers to AI disruption. The only modest AI risk is that AI-driven drug discovery could potentially accelerate competitor development of alternative catheter lock solutions or antifungal therapies, marginally increasing future competitive pressure. Hospital procurement and formulary access involve human relationship-driven sales processes that AI augments but cannot replace. AI Opportunity (0/1): AI could potentially accelerate clinical trial design and drug discovery for pipeline expansion, but CorMedix has not demonstrated differentiated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CorMedix Q1 2026 Earnings Release and Business Update -- GlobeNewsWire, May 14, 2026</w:t>
      </w:r>
    </w:p>
    <w:p>
      <w:pPr>
        <w:spacing w:before="20" w:after="20"/>
        <w:ind w:left="170"/>
      </w:pPr>
      <w:r>
        <w:rPr>
          <w:rFonts w:ascii="Calibri" w:hAnsi="Calibri"/>
          <w:b/>
          <w:color w:val="4A6B25"/>
          <w:sz w:val="15"/>
        </w:rPr>
        <w:t xml:space="preserve">2. </w:t>
      </w:r>
      <w:r>
        <w:rPr>
          <w:rFonts w:ascii="Calibri" w:hAnsi="Calibri"/>
          <w:b w:val="0"/>
          <w:color w:val="3A4A28"/>
          <w:sz w:val="17"/>
        </w:rPr>
        <w:t>CorMedix DefenCath Product Overview and Market Position -- CorMedix.com / Benzinga, 2026</w:t>
      </w:r>
    </w:p>
    <w:p>
      <w:pPr>
        <w:spacing w:before="20" w:after="20"/>
        <w:ind w:left="170"/>
      </w:pPr>
      <w:r>
        <w:rPr>
          <w:rFonts w:ascii="Calibri" w:hAnsi="Calibri"/>
          <w:b/>
          <w:color w:val="4A6B25"/>
          <w:sz w:val="15"/>
        </w:rPr>
        <w:t xml:space="preserve">3. </w:t>
      </w:r>
      <w:r>
        <w:rPr>
          <w:rFonts w:ascii="Calibri" w:hAnsi="Calibri"/>
          <w:b w:val="0"/>
          <w:color w:val="3A4A28"/>
          <w:sz w:val="17"/>
        </w:rPr>
        <w:t>CorMedix Post-Melinta Strategy, TDAPA Reimbursement Transition -- Yahoo Finance / Ticker Report, April 2026</w:t>
      </w:r>
    </w:p>
    <w:p>
      <w:pPr>
        <w:spacing w:before="20" w:after="20"/>
        <w:ind w:left="170"/>
      </w:pPr>
      <w:r>
        <w:rPr>
          <w:rFonts w:ascii="Calibri" w:hAnsi="Calibri"/>
          <w:b/>
          <w:color w:val="4A6B25"/>
          <w:sz w:val="15"/>
        </w:rPr>
        <w:t xml:space="preserve">4. </w:t>
      </w:r>
      <w:r>
        <w:rPr>
          <w:rFonts w:ascii="Calibri" w:hAnsi="Calibri"/>
          <w:b w:val="0"/>
          <w:color w:val="3A4A28"/>
          <w:sz w:val="17"/>
        </w:rPr>
        <w:t>CorMedix REZZAYO Phase III ReSPECT Results and Pipeline -- StockTitan / Simply Wall St, April-May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CRMD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