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CRSP</w:t>
      </w:r>
      <w:r>
        <w:rPr>
          <w:rFonts w:ascii="Calibri" w:hAnsi="Calibri"/>
          <w:b/>
          <w:color w:val="1A2010"/>
          <w:sz w:val="40"/>
        </w:rPr>
        <w:t xml:space="preserve">  CRISPR Therapeutics AG</w:t>
      </w:r>
    </w:p>
    <w:p>
      <w:pPr>
        <w:spacing w:after="120"/>
      </w:pPr>
      <w:r>
        <w:rPr>
          <w:rFonts w:ascii="Calibri" w:hAnsi="Calibri"/>
          <w:b/>
          <w:color w:val="6E8450"/>
          <w:sz w:val="18"/>
        </w:rPr>
        <w:t>GROWTH SLEEVE · 2026-07-18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Switzerland</w:t>
      </w:r>
    </w:p>
    <w:p>
      <w:pPr>
        <w:spacing w:after="80"/>
      </w:pPr>
      <w:r>
        <w:rPr>
          <w:rFonts w:ascii="Calibri" w:hAnsi="Calibri"/>
          <w:b w:val="0"/>
          <w:color w:val="3A4A28"/>
          <w:sz w:val="20"/>
        </w:rPr>
        <w:t>CRISPR Therapeutics AG is a gene-editing biotechnology company developing CRISPR/Cas9-based medicines for serious diseases. Its lead product, CASGEVY (developed with partner Vertex Pharmaceuticals), is the world's first approved CRISPR-based therapy, treating sickle cell disease and transfusion-dependent beta thalassemia. The pipeline spans oncology (allogeneic CAR-T), cardiovascular disease (in-vivo gene editing candidates CTX310 and CTX320), autoimmune conditions, and regenerative medicine. Founded in 2013, headquartered in Zug, Switzerland, with primary R&amp;D operations in Boston, Massachusetts.</w:t>
      </w:r>
    </w:p>
    <w:p>
      <w:r>
        <w:rPr>
          <w:rFonts w:ascii="Calibri" w:hAnsi="Calibri"/>
          <w:b/>
          <w:color w:val="6E8450"/>
          <w:sz w:val="18"/>
        </w:rPr>
        <w:t>450 Employees · https://www.crisprtx.com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CASGEVY, developed with Vertex, is the world's first approved CRISPR-based gene-editing therapy — a genuinely category-defining launch, with more than 500 patients having initiated treatment worldwide and patient initiations nearly tripling in 2025 versus 2024 [1]. AI Deployment (0/2): No evidence was found of CRISPR Therapeutics deploying its own AI products or reporting quantified AI-driven savings; the company's edge is its gene-editing platform, not internal AI tooling. Market Share (2/2): CASGEVY holds effectively 100% share of the approved CRISPR-therapeutics category, with continued acceleration in patient initiations and cell collections into 2026 [1]. Product Pipeline (1/2): CTX310 (targeting ANGPTL3 for the ~40M Americans with elevated LDL/triglycerides) and CTX320 (targeting Lp(a) cardiovascular risk) are named, specifically-indicated next-generation in-vivo programs, though precise launch timelines remain undisclosed at this early clinical stage [2]. R&amp;D Intensity (1/1): Q1 2026 net loss of $122.9M against minimal recognized revenue reflects R&amp;D spend that is extremely high relative to revenue even by clinical-stage biotech standards, funded by a $2.44B cash position bolstered by a $585.4M convertible notes raise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CRISPR Therapeutics' mission to 'develop transformative gene-based medicines for serious diseases' and build 'a culture of passionate people striving to positively impact patients, communities, and broader society' is specific and thoughtful, and has been directly validated by delivering the world's first approved CRISPR medicine [3]. Community Impact (2/2): The company supported the National Black Caucus of State Legislators' resolution on equitable access to transformative sickle cell therapies and has developed specific patient-access programs for underserved sickle cell disease populations — a distinctive, health-equity-linked commitment tied directly to its core mission. Employee Retention (0/2): No specific tenure or voluntary-turnover data was found. Insider Buying (1/2): Reports describe the CMO and other insiders 'increasing share purchases' around the company's $600M convertible notes raise, but SEC data also shows insider stock sales in the same window, making the net picture roughly balanced rather than a clear buying signal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no dividend). D/E of 42% is strong, scoring near the 1.0 cap. However, ROE of -34.8%, revenue growth YoY of -89.1% (TTM), 5yr revenue CAGR of -71.8%, and profit margin of roughly -13,900% all floor at 0 — these figures reflect CRSP's lumpy, milestone-based collaboration-revenue accounting (2021's revenue included a large one-time Vertex milestone) rather than CASGEVY's actual commercial trajectory, which is accelerating [1][6]. Forward P/E and forward PEG were excluded as not meaningful given negative earnings. Liquidity clears easily ($47.78 price x 1.62M average daily volume ≈ $77.4M) [6]. The mechanical score is low despite a genuinely strong cash position ($2.44B) and improving commercial ramp because Infrastructure captures only reported financial-statement mechanics, not pipeline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CRISPR Therapeutics has genuine infinite-game credentials — a mission validated by delivering literally the first approved CRISPR medicine, and a pattern of sustained heavy R&amp;D investment through a difficult early commercial ramp rather than retreating to protect cash. It falls short of the highest tier because the company is only about 12 years old and has not yet been tested across a full multi-decade cycle or crisis, and no positive employee-culture evidence was found to confirm the trusting-teams foundation Sinek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transformative gene-based medicines for serious diseases' is a genuine, resilient, service-oriented cause validated by delivering CASGEVY — the world's first approved CRISPR medicine — and CEO Kulkarni has consistently expanded the pipeline into cardiovascular, oncology, and autoimmune disease in service of that cause rather than narrowing to protect near-term cash [1][3]. It falls short of the top tier because the company, founded in 2013, has not yet had the cause tested across multiple decades or industry crises the way more established Sinek examples have.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turnover, tenure, or internal-culture data was found in research either positive or negative, so this is scored as an average, unremarkable picture in the absence of red-flag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CRISPR Therapeutics' management publicly framing competitors (Intellia, Editas, Beam Therapeutics) as sources of learning or improvement in the research reviewed.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expanded from a single ex-vivo hemoglobinopathy platform (CASGEVY) into in-vivo cardiovascular editing (CTX310, CTX320), oncology, and autoimmune applications — meaningful diversification of the core CRISPR/Cas9 platform's application areas, though the underlying technology platform itself has not been abandoned or reinvented, short of Sinek's highest bar for transformative flexibility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Rather than narrowing focus to conserve cash after CASGEVY's slower-than-hoped initial commercial ramp, management raised $600M in convertible notes and continued expanding the pipeline into cardiovascular, oncology, and autoimmune programs — a sustained pattern of prioritizing long-term platform capability over near-term financial optimization, reflected in the $122.9M Q1 2026 net loss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CRISPR Therapeutics is the category creator in CRISPR-based medicine, with CASGEVY — the world's first approved CRISPR therapy — showing accelerating real-world uptake: more than 500 patients have initiated treatment globally and patient initiations and first cell collections nearly tripled in 2025 versus 2024, with continued momentum into 2026 [1]. The company holds $2.44B in cash and marketable securities as of Q1 2026 (up from $1.98B at year-end, boosted by a $585.4M convertible notes raise), giving it a multi-year runway to fund a deep, diversified pipeline spanning cardiovascular disease (CTX310, CTX320), oncology, and autoimmune indications without near-term financing pressure [1][2]. AI Resilience is a genuine strength (8/10, LOW RISK) — CASGEVY's regulatory and manufacturing moat is structurally immune to AI substitution, and the mission has been directly validated by regulatory approval rather than aspiration alone [1][3].</w:t>
      </w:r>
    </w:p>
    <w:p>
      <w:pPr>
        <w:spacing w:after="120"/>
      </w:pPr>
      <w:r>
        <w:rPr>
          <w:rFonts w:ascii="Calibri" w:hAnsi="Calibri"/>
          <w:b w:val="0"/>
          <w:color w:val="3A4A28"/>
          <w:sz w:val="20"/>
        </w:rPr>
        <w:t>The bear case is that CRISPR Therapeutics' financial-statement mechanics remain those of a pre-commercial-scale biotech: TTM revenue collapsed 89.1% and the 5-year revenue CAGR is -71.8%, reflecting the lumpy, milestone-driven nature of collaboration-revenue accounting (a large one-time Vertex payment in 2021 makes recent periods look like a steep decline even as CASGEVY's actual patient uptake accelerates) [1][6]. ROE of -34.8% and a deeply negative net margin mean Infrastructure — the mechanically calculated financial dimension of this framework — scores just 1/10, and profitability at scale remains multiple years away [6]. CASGEVY's addressable patient population (sickle cell disease and beta thalassemia) is inherently limited and each treatment requires complex, costly cell-collection and manufacturing logistics that could cap the pace of commercial ramp regardless of demand. No positive employee-retention or worthy-rivals evidence was identified, leaving open questions about organizational resilience as the company scales from a single-product story to a multi-program commercial-stage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CASGEVY patient-initiation acceleration — initiations and first cell collections nearly tripled in 2025 versus 2024 with momentum continuing into 2026, directly driving the underlying commercial ramp that lumpy GAAP revenue accounting currently obscures [1]</w:t>
      </w:r>
    </w:p>
    <w:p>
      <w:pPr>
        <w:spacing w:before="40" w:after="40"/>
        <w:ind w:left="283"/>
      </w:pPr>
      <w:r>
        <w:rPr>
          <w:rFonts w:ascii="Calibri" w:hAnsi="Calibri"/>
          <w:b/>
          <w:color w:val="4A6B25"/>
          <w:sz w:val="20"/>
        </w:rPr>
        <w:t xml:space="preserve">2. </w:t>
      </w:r>
      <w:r>
        <w:rPr>
          <w:rFonts w:ascii="Calibri" w:hAnsi="Calibri"/>
          <w:b w:val="0"/>
          <w:color w:val="3A4A28"/>
          <w:sz w:val="20"/>
        </w:rPr>
        <w:t>CTX310/CTX320 in-vivo cardiovascular gene-editing data — durable LDL/triglyceride or Lp(a) reduction readouts would validate the in-vivo platform and unlock a dramatically larger addressable population (40M+ Americans) than CASGEVY's hemoglobinopathy indications [2]</w:t>
      </w:r>
    </w:p>
    <w:p>
      <w:pPr>
        <w:spacing w:before="40" w:after="40"/>
        <w:ind w:left="283"/>
      </w:pPr>
      <w:r>
        <w:rPr>
          <w:rFonts w:ascii="Calibri" w:hAnsi="Calibri"/>
          <w:b/>
          <w:color w:val="4A6B25"/>
          <w:sz w:val="20"/>
        </w:rPr>
        <w:t xml:space="preserve">3. </w:t>
      </w:r>
      <w:r>
        <w:rPr>
          <w:rFonts w:ascii="Calibri" w:hAnsi="Calibri"/>
          <w:b w:val="0"/>
          <w:color w:val="3A4A28"/>
          <w:sz w:val="20"/>
        </w:rPr>
        <w:t>Continued deployment of the $2.44B cash position into pipeline expansion (oncology, autoimmune) without near-term dilutive financing, following the $585.4M convertible notes raise completed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Infrastructure metrics are mechanically weak (ROE -34.8%, 5yr revenue CAGR -71.8%, deeply negative margin) and will likely remain so for several more years as CASGEVY's complex, high-cost treatment logistics gate the pace of revenue recognition [1][6]</w:t>
      </w:r>
    </w:p>
    <w:p>
      <w:pPr>
        <w:spacing w:before="40" w:after="40"/>
        <w:ind w:left="283"/>
      </w:pPr>
      <w:r>
        <w:rPr>
          <w:rFonts w:ascii="Calibri" w:hAnsi="Calibri"/>
          <w:b/>
          <w:color w:val="4A6B25"/>
          <w:sz w:val="20"/>
        </w:rPr>
        <w:t xml:space="preserve">2. </w:t>
      </w:r>
      <w:r>
        <w:rPr>
          <w:rFonts w:ascii="Calibri" w:hAnsi="Calibri"/>
          <w:b w:val="0"/>
          <w:color w:val="3A4A28"/>
          <w:sz w:val="20"/>
        </w:rPr>
        <w:t>CASGEVY's addressable patient population is inherently narrow (sickle cell disease and beta thalassemia), and each treatment's complex cell-collection/manufacturing process could structurally cap near-term revenue growth regardless of underlying demand</w:t>
      </w:r>
    </w:p>
    <w:p>
      <w:pPr>
        <w:spacing w:before="40" w:after="40"/>
        <w:ind w:left="283"/>
      </w:pPr>
      <w:r>
        <w:rPr>
          <w:rFonts w:ascii="Calibri" w:hAnsi="Calibri"/>
          <w:b/>
          <w:color w:val="4A6B25"/>
          <w:sz w:val="20"/>
        </w:rPr>
        <w:t xml:space="preserve">3. </w:t>
      </w:r>
      <w:r>
        <w:rPr>
          <w:rFonts w:ascii="Calibri" w:hAnsi="Calibri"/>
          <w:b w:val="0"/>
          <w:color w:val="3A4A28"/>
          <w:sz w:val="20"/>
        </w:rPr>
        <w:t>No positive evidence of employee retention, insider buying conviction, or competitive-rival engagement was found, leaving the organizational-resilience half of the Inspiration and Infinite Game evaluation largely unproven as the company scales into a multi-program commercial-stage biotech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CRISPR Therapeutics' core business — regulated, physically-administered, one-time curative gene-editing therapies requiring FDA approval, specialized manufacturing, and clinical-site infrastructure — is structurally immune to AI substitution; no AI system can replace an approved cell therapy's regulatory and manufacturing moat [1]. If anything, the convergence of AI and CRISPR is described as accelerating drug discovery and target identification industry-wide, a tailwind for CRISPR Therapeutics' own R&amp;D rather than a threat to its business [4]. AI Opportunity (0/1): AI is used as an internal R&amp;D acceleration tool (target identification, genomic data analysis) but no quantified, monetized AI product revenue was identified for CRSP specifically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CRISPR Therapeutics Q1 2026 Business Update and CASGEVY Commercial Performance — SEC 8-K, StockTitan, GlobeNewswire, April-May 2026</w:t>
      </w:r>
    </w:p>
    <w:p>
      <w:pPr>
        <w:spacing w:before="20" w:after="20"/>
        <w:ind w:left="170"/>
      </w:pPr>
      <w:r>
        <w:rPr>
          <w:rFonts w:ascii="Calibri" w:hAnsi="Calibri"/>
          <w:b/>
          <w:color w:val="4A6B25"/>
          <w:sz w:val="15"/>
        </w:rPr>
        <w:t xml:space="preserve">2. </w:t>
      </w:r>
      <w:r>
        <w:rPr>
          <w:rFonts w:ascii="Calibri" w:hAnsi="Calibri"/>
          <w:b w:val="0"/>
          <w:color w:val="3A4A28"/>
          <w:sz w:val="17"/>
        </w:rPr>
        <w:t>CRISPR Therapeutics Pipeline (CTX310, CTX320) Coverage — The Motley Fool, 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CRISPR Therapeutics Leadership — Samarth Kulkarni Profile, crisprtx.com, Aspen Ideas, BBNTimes</w:t>
      </w:r>
    </w:p>
    <w:p>
      <w:pPr>
        <w:spacing w:before="20" w:after="20"/>
        <w:ind w:left="170"/>
      </w:pPr>
      <w:r>
        <w:rPr>
          <w:rFonts w:ascii="Calibri" w:hAnsi="Calibri"/>
          <w:b/>
          <w:color w:val="4A6B25"/>
          <w:sz w:val="15"/>
        </w:rPr>
        <w:t xml:space="preserve">4. </w:t>
      </w:r>
      <w:r>
        <w:rPr>
          <w:rFonts w:ascii="Calibri" w:hAnsi="Calibri"/>
          <w:b w:val="0"/>
          <w:color w:val="3A4A28"/>
          <w:sz w:val="17"/>
        </w:rPr>
        <w:t>CRISPR Therapeutics ESG/Governance — Sustainalytics via Yahoo Finance, Corporate Governance Documentation, 2025-2026</w:t>
      </w:r>
    </w:p>
    <w:p>
      <w:pPr>
        <w:spacing w:before="20" w:after="20"/>
        <w:ind w:left="170"/>
      </w:pPr>
      <w:r>
        <w:rPr>
          <w:rFonts w:ascii="Calibri" w:hAnsi="Calibri"/>
          <w:b/>
          <w:color w:val="4A6B25"/>
          <w:sz w:val="15"/>
        </w:rPr>
        <w:t xml:space="preserve">5. </w:t>
      </w:r>
      <w:r>
        <w:rPr>
          <w:rFonts w:ascii="Calibri" w:hAnsi="Calibri"/>
          <w:b w:val="0"/>
          <w:color w:val="3A4A28"/>
          <w:sz w:val="17"/>
        </w:rPr>
        <w:t>CRISPR Therapeutics Insider Transactions and $600M Convertible Notes Raise — Simply Wall St, SEC Filings,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CRSP Key Statistics, Financials, and Financial Ratios,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