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CSTM</w:t>
      </w:r>
      <w:r>
        <w:rPr>
          <w:rFonts w:ascii="Calibri" w:hAnsi="Calibri"/>
          <w:b/>
          <w:color w:val="1A2010"/>
          <w:sz w:val="40"/>
        </w:rPr>
        <w:t xml:space="preserve">  Constellium SE</w:t>
      </w:r>
    </w:p>
    <w:p>
      <w:pPr>
        <w:spacing w:after="120"/>
      </w:pPr>
      <w:r>
        <w:rPr>
          <w:rFonts w:ascii="Calibri" w:hAnsi="Calibri"/>
          <w:b/>
          <w:color w:val="6E8450"/>
          <w:sz w:val="18"/>
        </w:rPr>
        <w:t>GROWTH SLEEVE · 2026-07-18 · Inspire: 64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Aluminum · NYSE · France</w:t>
      </w:r>
    </w:p>
    <w:p>
      <w:pPr>
        <w:spacing w:after="80"/>
      </w:pPr>
      <w:r>
        <w:rPr>
          <w:rFonts w:ascii="Calibri" w:hAnsi="Calibri"/>
          <w:b w:val="0"/>
          <w:color w:val="3A4A28"/>
          <w:sz w:val="20"/>
        </w:rPr>
        <w:t>Constellium SE is a global producer of specialty rolled, extruded, and structural aluminum products serving aerospace, automotive, and packaging end markets. The company operates through three segments — Aerospace &amp; Transportation, Packaging &amp; Automotive Rolled Products, and Automotive Structures &amp; Industry — across 25 manufacturing facilities in Europe, North America, and Asia, with over 750,000 metric tons of recycling capacity. Headquartered in Paris, France, Constellium supplies proprietary Airware aluminum-lithium alloys to aerospace customers and is a leading supplier to the aluminum beverage-can packaging market.</w:t>
      </w:r>
    </w:p>
    <w:p>
      <w:r>
        <w:rPr>
          <w:rFonts w:ascii="Calibri" w:hAnsi="Calibri"/>
          <w:b/>
          <w:color w:val="6E8450"/>
          <w:sz w:val="18"/>
        </w:rPr>
        <w:t>11,500 Employees · https://www.constellium.com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Constellium has pursued several process and product innovations over the past five years, including an Industry 4.0 digitalization program launched with Microsoft and Exakis Nelite roughly three years ago, and industrial-scale deployment of Laser-Induced Breakdown Spectroscopy (LIBS) scrap-sorting technology developed with German recycling specialist OSR GmbH, achieving over 95% alloy purity [1][2]. These are meaningful capability upgrades but fall short of a full business-model transformation. AI Deployment (1/2): The 'Digital Fingerprint' digital-twin project — including a smart, sensor-embedded aluminum power-control housing tested in a Mercedes-Benz EV — demonstrates real AI/data deployment in manufacturing and product design, but no quantified yield, downtime, or cost-reduction figures have been disclosed [2]. Market Share (1/2): Constellium is described as a world-leading supplier to the aluminum beverage-packaging market and a top-tier player in the aluminum plate/aerospace segment alongside Novelis, Arconic, and UACJ, but no specific market-share percentage was found in company or third-party data [3]. Product Pipeline (2/2): The company has named, in-progress next-generation initiatives with timelines — LIBS scrap-sorting scale-up and continued aircraft-aluminum recycling milestones — giving investors visibility into concrete pipeline items [2]. R&amp;D Intensity (0/1): R&amp;D spending of approximately $50 million in 2024 against roughly $7.3 billion in revenue implies R&amp;D intensity below 1% of sales, well under typical specialty materials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Constellium's stated mission is 'to create value for our customers, employees and shareholders by responsibly providing innovative and high value-added aluminium products and solutions,' paired with a vision of leadership in 'technologically advanced, responsibly manufactured aluminium solutions and aluminium recycling' [4]. This is clear and reasonably specific to the circular-economy trend but reads as fairly standard corporate language rather than a distinctive, deeply validated purpose. Community/Charitable Impact (1/2): The company holds an EcoVadis Gold rating (78/100, top 5% of assessed companies) and reports 78% of at-risk supplier spend now covered by detailed sustainability risk assessments, reflecting genuine supply-chain and environmental investment, though evidence of direct local-community programs is thin [3][4]. Employee Retention (1/2): Glassdoor ratings run 3.5-3.9/5 with 73% of employees recommending the company to a friend and strong compensation/benefits scores (4.4/5), but multiple reviews specifically flag 'turnover' and inconsistent management as recurring cons, undercutting a higher score [5]. Insider Buying (0/2): Insiders were net sellers by roughly $5.7 million over the trailing 12 months — SVP Philip Jurkovic, President Philippe Hoffmann, President Stephane Corre, and SVP Nicolas Brun all sold shares in May 2026, versus only a small 1,325-share purchase by director Jean-Christophe Deslarzes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no dividend paid). Return on equity of 45.6% (TTM) and forward P/E of 11.1x both exceed target thresholds comfortably, reflecting the cyclical earnings rebound following Q1 2026 results — revenue of $2.5 billion (up 24% YoY) and net income of $196 million versus $38 million a year earlier, on higher aluminum prices and Packaging &amp; Automotive Rolled Products strength [7]. Debt-to-equity of 174% is well above the 70% target but has improved materially from 643% in 2021 as the company deleveraged [8]. Profit margin of 4.9% (TTM) is thin relative to the 20% target, typical of a metal-pass-through business model, and 5-year revenue CAGR of roughly 3.7% (2021's ~$7.3B to 2025's ~$8.45B) is modest [9]. Forward PEG could not be reliably sourced given wide analyst dispersion on 2027 earnings (some estimates show a post-2026 EPS decline) and was excluded from the calculation rather than guessed. Average daily dollar volume of roughly $51 million (1.83M shares at $28.12) is far above the $1M liquidity floor, so no override applies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Constellium plays a mixed game. Its circular-economy mission around recyclable, low-carbon aluminum for EVs and aerospace is a genuinely resilient long-term cause, and the company backs it with real capital investment in recycling technology (LIBS scrap sorting) and digitalization. But the picture is diluted by a fairly generic mission statement, net insider selling, Glassdoor-documented turnover concerns, and no evidence of a transformative existential pivot — this reads as a solid operator managing a cyclical commodity business responsibly, not a company reinventing its category.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Constellium's vision of leadership in 'technologically advanced, responsibly manufactured aluminium solutions and aluminium recycling, supporting a circular and sustainable economy' ties the business to the durable, resilient cause of decarbonization and lightweighting for transportation and packaging [4]. The company backs this with concrete investment — EcoVadis Gold rating, ASI Performance Standard certification across operations, and 750,000+ metric tons of recycling capacity — but the mission language itself is fairly standard for the industry rather than singularly distinctive [3][4].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January 2026 CEO transition from Jean-Marc Germain to Ingrid Joerg — an internal promotion of a COO who joined the company in 2015 and rose through the Aerospace &amp; Transportation business — signals genuine talent development and succession planning [10]. Offsetting this, Glassdoor reviews (3.5-3.9/5, 286 reviews) repeatedly cite turnover and inconsistent management as cons even as compensation and benefits score well (4.4/5), suggesting psychological safety and stability vary by site and team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 evidence surfaced of destructive or zero-sum rhetoric toward competitors Novelis, Arconic, UACJ, or Norsk Hydro. Constellium instead competes on proprietary technology — Airware aluminum-lithium alloys for aerospace and LIBS-based recycling purity — positioning rivalry as a spur for technical differentiation rather than an attempt to eliminate competitors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adapted incrementally to the circular-economy shift — scaling LIBS scrap-sorting technology, digitalizing plants, and pursuing aircraft-aluminum recycling milestones — but these are extensions of the existing rolled/extruded aluminum business rather than a fundamental reinvention of the business model or willingness to cannibalize a core product line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raised full-year 2026 guidance to $900-940 million adjusted EBITDA and free cash flow above $275 million while continuing to fund recycling and digitalization capex that will not pay off for years [7]. However, recent net insider selling by multiple senior executives (two Presidents and two SVPs) totaling roughly $5.7 million over 12 months suggests leadership is also prioritizing near-term liquidity, tempering the courage-to-lead signal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Constellium is riding a cyclical upswing: Q1 2026 revenue jumped 24% YoY to $2.5 billion, net income surged to $196 million from $38 million a year earlier, and adjusted EBITDA nearly doubled (up 93%), driven by higher revenue per ton and firmer aluminum prices across Packaging &amp; Automotive Rolled Products [7]. Management raised full-year 2026 guidance to $900-940 million adjusted EBITDA and free cash flow above $275 million, and the balance sheet has improved markedly — debt-to-equity fell from 643% in 2021 to roughly 174% today [7][8]. At a trailing P/E of 9.1x and forward P/E of 11.1x, the stock (5 analysts rate it 'Strong Buy' with a $36.80 average 12-month target versus a $28.12 price) is not priced for perfection, and the business is structurally insulated from AI disruption given its physical, capital-intensive manufacturing footprint [1][9].</w:t>
      </w:r>
    </w:p>
    <w:p>
      <w:pPr>
        <w:spacing w:after="120"/>
      </w:pPr>
      <w:r>
        <w:rPr>
          <w:rFonts w:ascii="Calibri" w:hAnsi="Calibri"/>
          <w:b w:val="0"/>
          <w:color w:val="3A4A28"/>
          <w:sz w:val="20"/>
        </w:rPr>
        <w:t>The main risks are cyclicality and thin structural profitability: TTM profit margin of just 4.9% reflects the metal-pass-through nature of aluminum rolling, and 5-year revenue CAGR of only ~3.7% shows this is a volatile, not secularly growing, business [9]. Leverage remains elevated at 174% debt-to-equity versus a 70% target, R&amp;D intensity is under 1% of revenue (well below specialty-materials peers), and analyst EPS estimates show a projected decline in 2027 after the 2026 cyclical peak, adding uncertainty to the current premium multiple relative to normalized earnings [2][9]. On governance, net insider selling of $5.7 million over the trailing 12 months and Glassdoor-documented turnover concerns are modest yellow flags, though the internal promotion of COO Ingrid Joerg to CEO in January 2026 supports leadership continuity [5][6][10].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against raised FY2026 guidance of $900-940 million adjusted EBITDA and $275 million-plus free cash flow, which would extend the post-Q1 earnings momentum</w:t>
      </w:r>
    </w:p>
    <w:p>
      <w:pPr>
        <w:spacing w:before="40" w:after="40"/>
        <w:ind w:left="283"/>
      </w:pPr>
      <w:r>
        <w:rPr>
          <w:rFonts w:ascii="Calibri" w:hAnsi="Calibri"/>
          <w:b/>
          <w:color w:val="4A6B25"/>
          <w:sz w:val="20"/>
        </w:rPr>
        <w:t xml:space="preserve">2. </w:t>
      </w:r>
      <w:r>
        <w:rPr>
          <w:rFonts w:ascii="Calibri" w:hAnsi="Calibri"/>
          <w:b w:val="0"/>
          <w:color w:val="3A4A28"/>
          <w:sz w:val="20"/>
        </w:rPr>
        <w:t>Scale-up of LIBS aluminum-scrap-sorting technology and aircraft-aluminum recycling programs, which could improve recycled-content margins and support the circular-economy positioning that underpins the company's Just Cause</w:t>
      </w:r>
    </w:p>
    <w:p>
      <w:pPr>
        <w:spacing w:before="40" w:after="40"/>
        <w:ind w:left="283"/>
      </w:pPr>
      <w:r>
        <w:rPr>
          <w:rFonts w:ascii="Calibri" w:hAnsi="Calibri"/>
          <w:b/>
          <w:color w:val="4A6B25"/>
          <w:sz w:val="20"/>
        </w:rPr>
        <w:t xml:space="preserve">3. </w:t>
      </w:r>
      <w:r>
        <w:rPr>
          <w:rFonts w:ascii="Calibri" w:hAnsi="Calibri"/>
          <w:b w:val="0"/>
          <w:color w:val="3A4A28"/>
          <w:sz w:val="20"/>
        </w:rPr>
        <w:t>Further deleveraging from 174% debt-to-equity toward the 70% target, which would materially improve the mechanically-scored Infrastructure profile and reduce refinancing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Aluminum-price and demand cyclicality: the current earnings surge is driven largely by higher aluminum prices and revenue per ton rather than volume growth (Q1 2026 shipments were roughly flat YoY), leaving results exposed to a price pullback</w:t>
      </w:r>
    </w:p>
    <w:p>
      <w:pPr>
        <w:spacing w:before="40" w:after="40"/>
        <w:ind w:left="283"/>
      </w:pPr>
      <w:r>
        <w:rPr>
          <w:rFonts w:ascii="Calibri" w:hAnsi="Calibri"/>
          <w:b/>
          <w:color w:val="4A6B25"/>
          <w:sz w:val="20"/>
        </w:rPr>
        <w:t xml:space="preserve">2. </w:t>
      </w:r>
      <w:r>
        <w:rPr>
          <w:rFonts w:ascii="Calibri" w:hAnsi="Calibri"/>
          <w:b w:val="0"/>
          <w:color w:val="3A4A28"/>
          <w:sz w:val="20"/>
        </w:rPr>
        <w:t>Analyst estimates point to an EPS decline in 2027 after the 2026 cyclical peak, and a reliable PEG ratio could not be computed given this dispersion, adding valuation uncertainty despite the currently modest headline P/E</w:t>
      </w:r>
    </w:p>
    <w:p>
      <w:pPr>
        <w:spacing w:before="40" w:after="40"/>
        <w:ind w:left="283"/>
      </w:pPr>
      <w:r>
        <w:rPr>
          <w:rFonts w:ascii="Calibri" w:hAnsi="Calibri"/>
          <w:b/>
          <w:color w:val="4A6B25"/>
          <w:sz w:val="20"/>
        </w:rPr>
        <w:t xml:space="preserve">3. </w:t>
      </w:r>
      <w:r>
        <w:rPr>
          <w:rFonts w:ascii="Calibri" w:hAnsi="Calibri"/>
          <w:b w:val="0"/>
          <w:color w:val="3A4A28"/>
          <w:sz w:val="20"/>
        </w:rPr>
        <w:t>Elevated leverage (174% debt-to-equity) and thin profit margins (4.9% TTM) leave limited cushion if aerospace, automotive, or packaging end-market demand softens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Constellium's core value creation — melting, casting, rolling, and extruding aluminum for aerospace, automotive, and packaging customers — is a capital-intensive physical manufacturing process that AI cannot substitute or disintermediate; the business is essentially immune to displacement by generative or agentic AI [1][2]. If anything, the company is a net beneficiary, using its Industry 4.0 digitalization program (with Microsoft) and 'Digital Fingerprint' digital-twin technology to improve predictive maintenance, yield, and quality control in its plants [2]. Some risk exists at the margins — AI-driven efficiency gains at rival producers (Novelis, Arconic, UACJ) could pressure competitive positioning over time — but this is a second-order effect, not an existential threat. AI Opportunity (0/1): No quantified AI-linked revenue or margin benefit has been disclosed; the Digital Fingerprint program remains an R&amp;D pilot with Mercedes-Benz rather than a scaled, monetized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CSTM Statistics &amp; Valuation,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Constellium — Industry 4.0 Digitalization and Digital Fingerprint / LIBS Recycling Technology News, constellium.com, 2025-2026</w:t>
      </w:r>
    </w:p>
    <w:p>
      <w:pPr>
        <w:spacing w:before="20" w:after="20"/>
        <w:ind w:left="170"/>
      </w:pPr>
      <w:r>
        <w:rPr>
          <w:rFonts w:ascii="Calibri" w:hAnsi="Calibri"/>
          <w:b/>
          <w:color w:val="4A6B25"/>
          <w:sz w:val="15"/>
        </w:rPr>
        <w:t xml:space="preserve">3. </w:t>
      </w:r>
      <w:r>
        <w:rPr>
          <w:rFonts w:ascii="Calibri" w:hAnsi="Calibri"/>
          <w:b w:val="0"/>
          <w:color w:val="3A4A28"/>
          <w:sz w:val="17"/>
        </w:rPr>
        <w:t>MarketsandMarkets — Aluminum Plate Companies Research Insight; Verified Market Research — Aluminum Rolling Market Report, 2026</w:t>
      </w:r>
    </w:p>
    <w:p>
      <w:pPr>
        <w:spacing w:before="20" w:after="20"/>
        <w:ind w:left="170"/>
      </w:pPr>
      <w:r>
        <w:rPr>
          <w:rFonts w:ascii="Calibri" w:hAnsi="Calibri"/>
          <w:b/>
          <w:color w:val="4A6B25"/>
          <w:sz w:val="15"/>
        </w:rPr>
        <w:t xml:space="preserve">4. </w:t>
      </w:r>
      <w:r>
        <w:rPr>
          <w:rFonts w:ascii="Calibri" w:hAnsi="Calibri"/>
          <w:b w:val="0"/>
          <w:color w:val="3A4A28"/>
          <w:sz w:val="17"/>
        </w:rPr>
        <w:t>Constellium — Mission, Vision and Sustainability Targets, constellium.com/sustainability,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Glassdoor — Constellium Reviews and Ratings,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GuruFocus / StockTitan / TipRanks — Constellium SE (CSTM) Insider Trading Activity, May 2026</w:t>
      </w:r>
    </w:p>
    <w:p>
      <w:pPr>
        <w:spacing w:before="20" w:after="20"/>
        <w:ind w:left="170"/>
      </w:pPr>
      <w:r>
        <w:rPr>
          <w:rFonts w:ascii="Calibri" w:hAnsi="Calibri"/>
          <w:b/>
          <w:color w:val="4A6B25"/>
          <w:sz w:val="15"/>
        </w:rPr>
        <w:t xml:space="preserve">7. </w:t>
      </w:r>
      <w:r>
        <w:rPr>
          <w:rFonts w:ascii="Calibri" w:hAnsi="Calibri"/>
          <w:b w:val="0"/>
          <w:color w:val="3A4A28"/>
          <w:sz w:val="17"/>
        </w:rPr>
        <w:t>Constellium Q1 2026 Earnings Release and 10-Q, SEC EDGAR / stocktitan.net, April-May 2026</w:t>
      </w:r>
    </w:p>
    <w:p>
      <w:pPr>
        <w:spacing w:before="20" w:after="20"/>
        <w:ind w:left="170"/>
      </w:pPr>
      <w:r>
        <w:rPr>
          <w:rFonts w:ascii="Calibri" w:hAnsi="Calibri"/>
          <w:b/>
          <w:color w:val="4A6B25"/>
          <w:sz w:val="15"/>
        </w:rPr>
        <w:t xml:space="preserve">8. </w:t>
      </w:r>
      <w:r>
        <w:rPr>
          <w:rFonts w:ascii="Calibri" w:hAnsi="Calibri"/>
          <w:b w:val="0"/>
          <w:color w:val="3A4A28"/>
          <w:sz w:val="17"/>
        </w:rPr>
        <w:t>stockanalysis.com — CSTM Financial Ratios (5-Year Debt-to-Equity and ROE History), accessed July 2026</w:t>
      </w:r>
    </w:p>
    <w:p>
      <w:pPr>
        <w:spacing w:before="20" w:after="20"/>
        <w:ind w:left="170"/>
      </w:pPr>
      <w:r>
        <w:rPr>
          <w:rFonts w:ascii="Calibri" w:hAnsi="Calibri"/>
          <w:b/>
          <w:color w:val="4A6B25"/>
          <w:sz w:val="15"/>
        </w:rPr>
        <w:t xml:space="preserve">9. </w:t>
      </w:r>
      <w:r>
        <w:rPr>
          <w:rFonts w:ascii="Calibri" w:hAnsi="Calibri"/>
          <w:b w:val="0"/>
          <w:color w:val="3A4A28"/>
          <w:sz w:val="17"/>
        </w:rPr>
        <w:t>stockanalysis.com — CSTM Revenue History 2021-2025 and Statistics page, accessed July 2026</w:t>
      </w:r>
    </w:p>
    <w:p>
      <w:pPr>
        <w:spacing w:before="20" w:after="20"/>
        <w:ind w:left="170"/>
      </w:pPr>
      <w:r>
        <w:rPr>
          <w:rFonts w:ascii="Calibri" w:hAnsi="Calibri"/>
          <w:b/>
          <w:color w:val="4A6B25"/>
          <w:sz w:val="15"/>
        </w:rPr>
        <w:t xml:space="preserve">10. </w:t>
      </w:r>
      <w:r>
        <w:rPr>
          <w:rFonts w:ascii="Calibri" w:hAnsi="Calibri"/>
          <w:b w:val="0"/>
          <w:color w:val="3A4A28"/>
          <w:sz w:val="17"/>
        </w:rPr>
        <w:t>Constellium — Ingrid Joerg CEO Appointment Press Release, globenewswire.com, October 29,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