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CTRE</w:t>
      </w:r>
      <w:r>
        <w:rPr>
          <w:rFonts w:ascii="Calibri" w:hAnsi="Calibri"/>
          <w:b/>
          <w:color w:val="1A2010"/>
          <w:sz w:val="40"/>
        </w:rPr>
        <w:t xml:space="preserve">  CareTrust REIT, Inc.</w:t>
      </w:r>
    </w:p>
    <w:p>
      <w:pPr>
        <w:spacing w:after="120"/>
      </w:pPr>
      <w:r>
        <w:rPr>
          <w:rFonts w:ascii="Calibri" w:hAnsi="Calibri"/>
          <w:b/>
          <w:color w:val="6E8450"/>
          <w:sz w:val="18"/>
        </w:rPr>
        <w:t>DIVIDEND SLEEVE · 2026-07-10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CareTrust REIT, Inc. is a healthcare-focused real estate investment trust that acquires, finances, and owns skilled nursing facilities, assisted living communities, and other senior housing properties. Spun off from The Ensign Group in 2014, the company grew its market cap from $2B to over $8B in two years through disciplined acquisitions, expanded into the UK care home market in 2025, and entered the SHOP (senior housing operating portfolio) segment.</w:t>
      </w:r>
    </w:p>
    <w:p>
      <w:r>
        <w:rPr>
          <w:rFonts w:ascii="Calibri" w:hAnsi="Calibri"/>
          <w:b/>
          <w:color w:val="6E8450"/>
          <w:sz w:val="18"/>
        </w:rPr>
        <w:t>100 Employees · https://www.caretrustreit.com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CareTrust executed a transformational growth strategy in 2025, completing $1.80 billion of investments, expanding internationally into the UK care home market, and entering SHOP operations — a fundamentally new operating model for a historically triple-net lease REIT [1][2]. Market cap grew from $2B to $8B+ in two years. AI Deployment (0/2): No AI products or deployment evident in operations; the company relies on traditional healthcare real estate underwriting and operator vetting [5]. Market Share (1/2): CareTrust is a meaningful but not dominant healthcare REIT — Welltower and Ventas remain significantly larger. However, CareTrust's operator-first model and Ensign Group heritage differentiate it within the skilled nursing niche [5]. Product Pipeline (1/2): Active acquisition pipeline with UK expansion and SHOP development, but no specific next-generation products with named timelines [2]. R&amp;D Intensity (0/1): Not applicable for a REIT —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CareTrust positions itself as 'built by operators, for operators,' leveraging more than 60 years of hands-on healthcare operating experience to vet providers and align them with opportunities [5]. The purpose is clear and connects the company's work to improving healthcare delivery, but it reads as an operational identity rather than a transformative vision. Community Impact (1/2): CareTrust achieved ISS ESG Prime status in 2024, publishes annual sustainability reports, offers financial incentives for environmental projects through green lease clauses, and promotes sustainable practices among third-party operators [3]. Employee Retention (0/2): Small corporate team (~100 employees); no public retention or turnover data available. CEO Sedgwick's emphasis on 'ownership mentality' and internal promotions suggests a positive culture, but specific data is absent [5]. Insider Buying (0/2): No meaningful net insider buying identified in the last 12 months. The company sold shares through its ATM program ($99.5M in Q1 2025), which represents corporate equity issuance rather than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CareTrust's financial profile is exceptionally strong for a healthcare REIT: ultra-low leverage at 0.6x Net Debt/EBITDA with a Moody's investment-grade rating, D/E of just 22%, and profit margin of 64.1% reflecting the high-margin triple-net lease model [1][2]. Revenue growth has been explosive — approximately 57% YoY in 2025 driven by $1.80B in acquisitions, with estimated 5-year revenue CAGR of approximately 20% [1]. Primary weaknesses are a forward P/E of 26.94 (above the 20 target, reflecting REIT premium valuation) and ROE of 9.42% (below the 15% target, typical for equity-heavy REITs). Payout ratio of 92% is high but standard for REITs required to distribute 90% of taxable income. Dividend track record is strong: 10 consecutive years of increases, 5-year CAGR of 6.03%, and a 16.4% increase announced in Q1 2026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CareTrust demonstrates competent execution and genuine healthcare expertise but lacks the hallmarks of infinite game thinking. The company's rapid growth from $2B to $8B+ market cap is impressive but driven by acquisition-funded dilution rather than a Just Cause that transcends quarterly results. CEO Sedgwick's emphasis on 'ownership mentality' and operator partnerships shows purpose-driven thinking, but the company has not been tested through adversity, and its competitive language centers on deal-making speed rather than building something that endures beyond any single leader.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CareTrust's identity as 'built by operators, for operators' with 60+ years of healthcare operating experience represents a genuine operational philosophy, but it falls short of a Just Cause as Sinek defines it [5]. The purpose is about how the company operates rather than a vision of a better future. There is no stated aspiration to transform healthcare access, improve patient outcomes, or reshape senior care delivery — the company exists to generate returns by matching operators with properties.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Dave Sedgwick, who joined from The Ensign Group in 2021, has emphasized internal promotion and described colleagues as embodying 'the CareTrust way' with 'ownership mentality, a hunger to improve, and great team players' [5]. The company's lean structure (~100 employees) and consistent leadership suggest organizational stability. However, the small team size makes trust assessment difficult, and no specific employee retention or satisfaction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CareTrust's competitive positioning focuses on deal speed, operator relationships, and its Ensign Group heritage as differentiators — language about winning deals rather than learning from rivals [5]. The company does not reference Welltower, Ventas, or other healthcare REITs as worthy rivals whose strengths drive CareTrust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CareTrust has evolved from a pure US triple-net lease REIT into a diversified healthcare real estate platform with international operations (UK) and operating exposure (SHOP segment) [1][2]. This represents meaningful strategic flexibility, as the company adapted its business model to access new growth runways. However, the core model remains fundamentally unchanged — CareTrust still primarily owns and finances healthcare properties — making the transformation incremental rather than existential.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CareTrust demonstrated meaningful courage by expanding into the UK care home market and SHOP operations in 2025 — both significant departures from the company's established US triple-net lease model [1][2]. International expansion required committing capital to an unfamiliar regulatory environment, and SHOP operations add operating risk that triple-net REITs typically avoid. However, these bets were made from a position of financial strength (0.6x leverage, investment-grade rating), reducing the relative courage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CareTrust REIT delivered a transformational 2025, completing $1.80B of investments that drove FFO per share growth of 17% to $1.76, net income growth of 96%, and a 16.4% dividend increase to $0.39/quarter [1][2]. The company raised 2026 guidance with midpoints implying ~15% Normalized FFO growth, achieved an investment-grade credit rating from Moody's, and maintains ultra-low leverage at 0.6x Net Debt/EBITDA. With 12 consecutive years of dividend payments, 10 years of consecutive growth, and a yield of 3.82%, CareTrust offers a rare combination of growth and income in the healthcare REIT space. The operator-first underwriting model backed by 60+ years of Ensign Group heritage creates a differentiated competitive position in skilled nursing and assisted living acquisitions.</w:t>
      </w:r>
    </w:p>
    <w:p>
      <w:pPr>
        <w:spacing w:after="120"/>
      </w:pPr>
      <w:r>
        <w:rPr>
          <w:rFonts w:ascii="Calibri" w:hAnsi="Calibri"/>
          <w:b w:val="0"/>
          <w:color w:val="3A4A28"/>
          <w:sz w:val="20"/>
        </w:rPr>
        <w:t>The primary concern is valuation stretch and dilution. At 26.9x forward P/E with a PEG ratio of 4.88, CareTrust is priced for continued rapid growth, leaving no margin for acquisition pace deceleration [4]. The 26.4% YoY share dilution used to fund the $1.80B investment program erodes per-share value, and the 92% payout ratio leaves minimal FFO cushion if occupancy or rent collection falters. Concentration in skilled nursing facilities (~60% of portfolio) exposes CareTrust to Medicaid/Medicare reimbursement cuts, state-level staffing mandates, and post-COVID regulatory scrutiny. International expansion into the UK adds currency risk, unfamiliar regulatory environments, and operational complexity that the lean corporate team has not previously navigated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$1B+ annual acquisition pipeline targeting healthcare properties with immediate accretive returns, supported by investment-grade credit and 0.6x leverage capacity</w:t>
      </w:r>
    </w:p>
    <w:p>
      <w:pPr>
        <w:spacing w:before="40" w:after="40"/>
        <w:ind w:left="283"/>
      </w:pPr>
      <w:r>
        <w:rPr>
          <w:rFonts w:ascii="Calibri" w:hAnsi="Calibri"/>
          <w:b/>
          <w:color w:val="4A6B25"/>
          <w:sz w:val="20"/>
        </w:rPr>
        <w:t xml:space="preserve">2. </w:t>
      </w:r>
      <w:r>
        <w:rPr>
          <w:rFonts w:ascii="Calibri" w:hAnsi="Calibri"/>
          <w:b w:val="0"/>
          <w:color w:val="3A4A28"/>
          <w:sz w:val="20"/>
        </w:rPr>
        <w:t>UK care home market expansion opening a multi-billion dollar growth runway with attractive cap rates relative to the mature US market</w:t>
      </w:r>
    </w:p>
    <w:p>
      <w:pPr>
        <w:spacing w:before="40" w:after="40"/>
        <w:ind w:left="283"/>
      </w:pPr>
      <w:r>
        <w:rPr>
          <w:rFonts w:ascii="Calibri" w:hAnsi="Calibri"/>
          <w:b/>
          <w:color w:val="4A6B25"/>
          <w:sz w:val="20"/>
        </w:rPr>
        <w:t xml:space="preserve">3. </w:t>
      </w:r>
      <w:r>
        <w:rPr>
          <w:rFonts w:ascii="Calibri" w:hAnsi="Calibri"/>
          <w:b w:val="0"/>
          <w:color w:val="3A4A28"/>
          <w:sz w:val="20"/>
        </w:rPr>
        <w:t>SHOP segment operations delivering operator-level returns that exceed traditional triple-net lease yields, diversifying the revenue and earnings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26.9x and PEG of 4.88 embed aggressive growth expectations — any acquisition pace deceleration or integration stumbles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26.4% YoY share dilution to fund acquisitions erodes per-share value and signals dependence on equity capital markets that may not remain favorable</w:t>
      </w:r>
    </w:p>
    <w:p>
      <w:pPr>
        <w:spacing w:before="40" w:after="40"/>
        <w:ind w:left="283"/>
      </w:pPr>
      <w:r>
        <w:rPr>
          <w:rFonts w:ascii="Calibri" w:hAnsi="Calibri"/>
          <w:b/>
          <w:color w:val="4A6B25"/>
          <w:sz w:val="20"/>
        </w:rPr>
        <w:t xml:space="preserve">3. </w:t>
      </w:r>
      <w:r>
        <w:rPr>
          <w:rFonts w:ascii="Calibri" w:hAnsi="Calibri"/>
          <w:b w:val="0"/>
          <w:color w:val="3A4A28"/>
          <w:sz w:val="20"/>
        </w:rPr>
        <w:t>Skilled nursing concentration exposes CareTrust to Medicaid/Medicare reimbursement policy changes, state staffing mandates, and regulatory scrutiny that could impair operator ability to pay rent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Healthcare real estate is structurally immune to AI disruption. Skilled nursing facilities, assisted living communities, and senior housing require physical buildings, in-person caregiving, and licensed clinical operations that AI cannot substitute [1]. AI-driven healthcare improvements could increase demand for post-acute care facilities by extending lifespans and creating more patients requiring skilled nursing. CareTrust's core competency — underwriting healthcare operators and matching them with properties — involves relationship-based judgment that resists automation. The triple-net lease model further insulates CareTrust, as operators bear operating risk while CareTrust owns physical assets. AI Opportunity (0/1): No AI-related revenue. CareTrust does not develop or deploy AI products; its business is owning and financing physical healthcare properties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CareTrust REIT Q4 2025 / FY2025 Earnings Release, February 2026 — SEC Form 8-K</w:t>
      </w:r>
    </w:p>
    <w:p>
      <w:pPr>
        <w:spacing w:before="20" w:after="20"/>
        <w:ind w:left="170"/>
      </w:pPr>
      <w:r>
        <w:rPr>
          <w:rFonts w:ascii="Calibri" w:hAnsi="Calibri"/>
          <w:b/>
          <w:color w:val="4A6B25"/>
          <w:sz w:val="15"/>
        </w:rPr>
        <w:t xml:space="preserve">2. </w:t>
      </w:r>
      <w:r>
        <w:rPr>
          <w:rFonts w:ascii="Calibri" w:hAnsi="Calibri"/>
          <w:b w:val="0"/>
          <w:color w:val="3A4A28"/>
          <w:sz w:val="17"/>
        </w:rPr>
        <w:t>CareTrust REIT Q1 2026 Earnings Release and Raised 2026 Guidance, May 2026 — SEC Form 8-K</w:t>
      </w:r>
    </w:p>
    <w:p>
      <w:pPr>
        <w:spacing w:before="20" w:after="20"/>
        <w:ind w:left="170"/>
      </w:pPr>
      <w:r>
        <w:rPr>
          <w:rFonts w:ascii="Calibri" w:hAnsi="Calibri"/>
          <w:b/>
          <w:color w:val="4A6B25"/>
          <w:sz w:val="15"/>
        </w:rPr>
        <w:t xml:space="preserve">3. </w:t>
      </w:r>
      <w:r>
        <w:rPr>
          <w:rFonts w:ascii="Calibri" w:hAnsi="Calibri"/>
          <w:b w:val="0"/>
          <w:color w:val="3A4A28"/>
          <w:sz w:val="17"/>
        </w:rPr>
        <w:t>CareTrust REIT Corporate Sustainability Report 2024 and ISS ESG Prime Rating, April 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CTRE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CareTrust REIT Investor Relations — Leadership, Corporate Governance, and Company Overview</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