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CUK</w:t>
      </w:r>
      <w:r>
        <w:rPr>
          <w:rFonts w:ascii="Calibri" w:hAnsi="Calibri"/>
          <w:b/>
          <w:color w:val="1A2010"/>
          <w:sz w:val="40"/>
        </w:rPr>
        <w:t xml:space="preserve">  Carnival Corporation &amp; plc</w:t>
      </w:r>
    </w:p>
    <w:p>
      <w:pPr>
        <w:spacing w:after="120"/>
      </w:pPr>
      <w:r>
        <w:rPr>
          <w:rFonts w:ascii="Calibri" w:hAnsi="Calibri"/>
          <w:b/>
          <w:color w:val="6E8450"/>
          <w:sz w:val="18"/>
        </w:rPr>
        <w:t>GROWTH SLEEVE · 2026-07-11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Carnival Corporation &amp; plc operates as the world's largest cruise company with a fleet spanning nine brands including Carnival Cruise Line, Princess Cruises, Holland America Line, and Costa Cruises. CUK represents the UK-listed P&amp;O shares of the dual-listed company.</w:t>
      </w:r>
    </w:p>
    <w:p>
      <w:r>
        <w:rPr>
          <w:rFonts w:ascii="Calibri" w:hAnsi="Calibri"/>
          <w:b/>
          <w:color w:val="6E8450"/>
          <w:sz w:val="18"/>
        </w:rPr>
        <w:t>160,000 Employees · https://www.carnivalcorp.com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Carnival's post-pandemic recovery has been operationally impressive — achieving record revenues and exceeding its 2026 SEA Change financial targets 18 months early — but this represents recovery rather than innovation [1]. No new business models or market-creating products. AI Deployment (1/2): Carnival is deploying AI through its Ocean Medallion wearable technology and operational optimization, including AI-driven pricing and yield management that contributed to record net yields in Q1 2026 [1]. Market Share (2/2): Carnival is the undisputed global cruise market leader with the largest fleet and passenger capacity, operating nine brands across every major market segment. Product Pipeline (1/2): The PROPEL initiative targets continued earnings growth through 2029 with new ship deliveries and capacity expansion, though timelines are general. R&amp;D Intensity (0/1): Hospitality/cruise industry has minimal R&amp;D intensity relative to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Carnival's purpose centers on delivering 'unforgettable happiness' to guests — clear but not distinctive within the hospitality/travel industry [2]. Community Impact (1/2): Carnival operates disaster relief programs through its fleet and has community investment initiatives, though these are standard for a major hospitality company. Employee Retention (1/2): 160,000 employees across nine brands with generally stable ship crew retention, though the cruise industry faced significant workforce challenges during and after COVID. Insider Buying (0/2): No notable insider buying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Record Q1 2026 revenue of $6.2B with gross margin yields up nearly 10% and adjusted EPS of $0.20 (up 50% YoY) [1]. Forward PE of 10.24 is excellent below the 20 target (1.0). PEG of 1.03 is near the 1.0 target (0.985, 2x weight). ROE of 26.69% significantly exceeds the 15% target (1.0, 2x weight). Revenue growth YoY of 5.3% is below target but positive (0.84). Profit margin of 11.24% is moderate (0.56). D/E of 201.6% remains elevated from pandemic-era debt, scoring 0.43. Full-year 2026 guidance of $2.48 adjusted EPS and $3.5B adjusted net income (up 12%) with $2.5B buyback program initiated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Carnival operates with a mixed infinite/finite game mindset. The company's recovery from near-bankruptcy during COVID demonstrated resilience, and the multi-brand fleet strategy reflects long-term capacity building. However, the recent emphasis on PROPEL financial targets, share buybacks, and quarterly earnings growth reflects finite game thinking focused on near-term financial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Carnival's purpose of delivering unforgettable happiness through cruise experiences is genuine but shallow — it describes what the company does rather than why it exists beyond profit. The cause hasn't driven transformative strategic decisions or survived a defining test of commitment beyond the COVID period, where survival was the primary motivation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Josh Weinstein has provided stable leadership since 2022, and the company has maintained operational continuity across nine brands and 160,000 employees. However, the cruise industry's hierarchical shipboard culture and COVID-era workforce disruptions create mixed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Carnival's competitive language is primarily about maintaining market leadership and fleet superiority rather than learning from competitors like Royal Caribbean or MSC. The PROPEL initiative focuses on internal financial targets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Carnival has shown some adaptation — expanding into expedition cruising, deploying LNG-powered ships, and investing in private island destinations — but these are incremental evolutions of the core cruise model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Carnival's post-COVID strategy has been primarily focused on recovering margins and returning capital to shareholders. No evidence of leadership sacrificing short-term performance for long-term capability building beyond standard fleet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Carnival delivered record Q1 2026 revenues of $6.2B with adjusted EPS up 50% YoY, exceeding its 2026 SEA Change financial targets 18 months ahead of schedule [1]. The company forecasts full-year adjusted net income of $3.5B (up 12%) and initiated a $2.5B share buyback program while reinstating dividends. At 10.24x forward earnings and PEG of 1.03, valuation is attractive for a market-dominant franchise with 160,000 employees and the world's largest cruise fleet. Record bookings at historically high prices signal sustained demand.</w:t>
      </w:r>
    </w:p>
    <w:p>
      <w:pPr>
        <w:spacing w:after="120"/>
      </w:pPr>
      <w:r>
        <w:rPr>
          <w:rFonts w:ascii="Calibri" w:hAnsi="Calibri"/>
          <w:b w:val="0"/>
          <w:color w:val="3A4A28"/>
          <w:sz w:val="20"/>
        </w:rPr>
        <w:t>The primary concern is Carnival's elevated D/E of 201.6% — a legacy of $35B+ in pandemic-era debt that constrains balance sheet flexibility and increases interest expense burden. Revenue growth has moderated to 5.3% YoY as the post-COVID surge normalizes, raising questions about sustainable growth rates. The cruise industry faces cyclical demand risk (recessions, geopolitical disruptions), rising fuel costs, and increasing environmental regulatory pressure. The newly reinstated dividend at 1.68% yield lacks the 5+ year track record needed for Dividend sleeve classification.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PROPEL initiative targets continued double-digit earnings growth through 2029 with fleet expansion and yield optimization</w:t>
      </w:r>
    </w:p>
    <w:p>
      <w:pPr>
        <w:spacing w:before="40" w:after="40"/>
        <w:ind w:left="283"/>
      </w:pPr>
      <w:r>
        <w:rPr>
          <w:rFonts w:ascii="Calibri" w:hAnsi="Calibri"/>
          <w:b/>
          <w:color w:val="4A6B25"/>
          <w:sz w:val="20"/>
        </w:rPr>
        <w:t xml:space="preserve">2. </w:t>
      </w:r>
      <w:r>
        <w:rPr>
          <w:rFonts w:ascii="Calibri" w:hAnsi="Calibri"/>
          <w:b w:val="0"/>
          <w:color w:val="3A4A28"/>
          <w:sz w:val="20"/>
        </w:rPr>
        <w:t>Share buyback program of $2.5B could provide meaningful EPS accretion and signal management confidence in the valuation</w:t>
      </w:r>
    </w:p>
    <w:p>
      <w:pPr>
        <w:spacing w:before="40" w:after="40"/>
        <w:ind w:left="283"/>
      </w:pPr>
      <w:r>
        <w:rPr>
          <w:rFonts w:ascii="Calibri" w:hAnsi="Calibri"/>
          <w:b/>
          <w:color w:val="4A6B25"/>
          <w:sz w:val="20"/>
        </w:rPr>
        <w:t xml:space="preserve">3. </w:t>
      </w:r>
      <w:r>
        <w:rPr>
          <w:rFonts w:ascii="Calibri" w:hAnsi="Calibri"/>
          <w:b w:val="0"/>
          <w:color w:val="3A4A28"/>
          <w:sz w:val="20"/>
        </w:rPr>
        <w:t>Debt deleveraging — achieving investment-grade leverage metrics could reduce interest expense and improve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201.6% remains elevated from pandemic borrowing, creating vulnerability to rising rates and constraining strategic flexibility</w:t>
      </w:r>
    </w:p>
    <w:p>
      <w:pPr>
        <w:spacing w:before="40" w:after="40"/>
        <w:ind w:left="283"/>
      </w:pPr>
      <w:r>
        <w:rPr>
          <w:rFonts w:ascii="Calibri" w:hAnsi="Calibri"/>
          <w:b/>
          <w:color w:val="4A6B25"/>
          <w:sz w:val="20"/>
        </w:rPr>
        <w:t xml:space="preserve">2. </w:t>
      </w:r>
      <w:r>
        <w:rPr>
          <w:rFonts w:ascii="Calibri" w:hAnsi="Calibri"/>
          <w:b w:val="0"/>
          <w:color w:val="3A4A28"/>
          <w:sz w:val="20"/>
        </w:rPr>
        <w:t>Revenue growth moderating to 5.3% suggests the post-COVID booking surge is normalizing, with limited visibility on sustainable growth rates</w:t>
      </w:r>
    </w:p>
    <w:p>
      <w:pPr>
        <w:spacing w:before="40" w:after="40"/>
        <w:ind w:left="283"/>
      </w:pPr>
      <w:r>
        <w:rPr>
          <w:rFonts w:ascii="Calibri" w:hAnsi="Calibri"/>
          <w:b/>
          <w:color w:val="4A6B25"/>
          <w:sz w:val="20"/>
        </w:rPr>
        <w:t xml:space="preserve">3. </w:t>
      </w:r>
      <w:r>
        <w:rPr>
          <w:rFonts w:ascii="Calibri" w:hAnsi="Calibri"/>
          <w:b w:val="0"/>
          <w:color w:val="3A4A28"/>
          <w:sz w:val="20"/>
        </w:rPr>
        <w:t>Cruise industry faces cyclical demand risk, geopolitical disruptions (port access, travel advisories), and increasing environmental regulations on emissions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Carnival's core business is structurally immune to AI disruption — cruise vacations require physical ships, ports, hospitality staff, and in-person entertainment experiences that AI cannot substitute [1]. The cruise industry involves massive capital-intensive infrastructure (ships worth $1B+ each), complex global logistics, regulatory compliance across jurisdictions, and human-centric service delivery. AI may even increase demand as AI-displaced workers seek experiences over goods. AI Opportunity (0/1): While Carnival uses AI operationally (pricing optimization, Ocean Medallion), it does not generate meaningful AI-specific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Carnival Corporation Q1 2026 Earnings Release — PRNewswire,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Carnival Corporation About Us and Strategy — carnivalcorp.com,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CCL/CUK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