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CWK</w:t>
      </w:r>
      <w:r>
        <w:rPr>
          <w:rFonts w:ascii="Calibri" w:hAnsi="Calibri"/>
          <w:b/>
          <w:color w:val="1A2010"/>
          <w:sz w:val="40"/>
        </w:rPr>
        <w:t xml:space="preserve">  Cushman &amp; Wakefield Limited</w:t>
      </w:r>
    </w:p>
    <w:p>
      <w:pPr>
        <w:spacing w:after="120"/>
      </w:pPr>
      <w:r>
        <w:rPr>
          <w:rFonts w:ascii="Calibri" w:hAnsi="Calibri"/>
          <w:b/>
          <w:color w:val="6E8450"/>
          <w:sz w:val="18"/>
        </w:rPr>
        <w:t>GROWTH SLEEVE · 2026-07-19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Cushman &amp; Wakefield is a leading global commercial real estate services firm for property owners and occupiers, operating in nearly 400 offices across 60 countries. Founded in 1784 and headquartered in Chicago, the firm provides brokerage, leasing, capital markets, valuation and property/facilities management services.</w:t>
      </w:r>
    </w:p>
    <w:p>
      <w:r>
        <w:rPr>
          <w:rFonts w:ascii="Calibri" w:hAnsi="Calibri"/>
          <w:b/>
          <w:color w:val="6E8450"/>
          <w:sz w:val="18"/>
        </w:rPr>
        <w:t>53,000 Employees · https://www.cushmanwakefield.com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Michelle MacKay has driven a company-wide 'reset,' replacing or internally promoting roughly 70% of the senior leadership team over four years while launching the AI+ enterprise strategy, a significant transformation though the core brokerage/services business model remains intact [2]. AI Deployment (2/2): CWK shipped generative AI assistants and the industry-first 'AI Impact Barometer' tool to track AI's effect on real estate demand, and management directly attributed part of its record Q1 2026 revenue to AI-driven leasing demand [1][4]. Market Share (0/2): CWK's Q1 2026 revenue grew 9-11% YoY, trailing CBRE (+19%), Newmark (+27%) and roughly matching JLL (+11%) — CWK is losing relative share momentum against larger and faster-growing peers [4]. Product Pipeline (1/2): The AI+ roadmap and AI Impact Barometer are named initiatives with a general direction (embedding AI across the transaction lifecycle) but no specific dated revenue targets were disclosed [4]. R&amp;D Intensity (0/1): No R&amp;D-as-%-of-revenue data was found; not a traditionally R&amp;D-intensive services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MacKay's articulated vision — building 'a different kind of engine, a different kind of company, and a different kind of culture that's far more tapped into where the world is going' — is specific and intentional but is framed around internal transformation and competitive positioning rather than a societal purpose beyond the business [2]. Community Impact (0/2): No specific, dollar-quantified community or charitable program was identified beyond a general corporate ESG page. Employee Retention (0/2): Glassdoor rates CWK 3.6/5 with recurring reviews citing 'extremely high turnover and low morale,' low pay complaints, and both COVID-era and 2026 job-security concerns [6]. Insider Buying (0/2): No specific insider buying transaction data was found for CWK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~160% is well above the 70% target, reflecting elevated leverage (3.1x vs. CBRE's 1.5x on one estimate) that management is actively reducing — $300M debt prepaid in 2025 and a $100M partial note redemption in May 2026, targeting 2.0x net leverage by 2028 [3]. ROE of 3.95% and profit margin of 0.70% are both far below the 15% and 20% targets, reflecting thin services-industry margins [3]. Revenue grew 10.4% YoY (TTM) against an estimated ~5.7% five-year CAGR ($7.8B in 2020 to $10.3B in 2025), both near or above the 10% target [1]. Forward P/E of 9.24 is well inside the 20 target, reflecting a depressed valuation relative to the reaffirmed FY2026 guidance of 6-8% revenue growth and 15-20% adjusted EPS growth [1][3]. Liquidity is not a constraint: ~1.70M average daily volume at $13.66 implies ~$23M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Cushman &amp; Wakefield under CEO Michelle MacKay shows real, costly courage — a 70% leadership overhaul and disciplined deleveraging — in service of a genuinely differentiated 'reset' narrative. But the same leadership churn correlates with Glassdoor complaints of high turnover and low morale, and the underlying purpose is still articulated primarily in competitive/operational terms rather than a resilient, service-oriented Just Cause, placing CWK in the MIXED band.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MacKay's vision of building 'a different kind of engine... far less reliant on historical practices of where the world has been' is a genuinely distinctive strategic narrative that she has referenced repeatedly in shaping leadership changes and the AI+ rollout, but at roughly three years into her tenure it has not yet been tested through a full market cycle or leadership transition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explicitly cite 'extremely high turnover and low morale,' low pay complaints, and 2026 job-security concerns; the scale of recent leadership churn (70% turnover), even if strategically intentional, correlates with a workforce that does not describe a high-trust environment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MacKay's rhetoric implicitly contrasts CWK against slower-moving legacy competitors but does not explicitly acknowledge specific rival strengths (CBRE, JLL, Newmark) as a source of self-improvement, reading closer to a competitive-positioning narrative than a learning-oriented rivalry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AI+ strategy and cultural 'reset' represent a real attempt to reposition the firm for an AI-driven market, but the core brokerage/services business model is being adapted rather than replaced, falling short of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MacKay drove a 70% turnover of the senior leadership team over four years — a disruptive, high-conviction decision — while simultaneously prioritizing balance-sheet health over short-term EPS, prepaying $300M of debt in 2025 and redeeming $100M of 2028 notes in May 2026 toward a 2.0x leverage target by 2028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Cushman &amp; Wakefield posted record Q1 2026 revenue of $2.54B (up 11% YoY), with leasing up 19% and capital markets up 15%, and management reaffirmed FY2026 guidance of 6-8% revenue growth and 15-20% adjusted EPS growth, partly attributing the strength to AI-driven leasing demand [1]. CEO Michelle MacKay's multi-year 'reset' — a 70% leadership overhaul, the AI+ platform rollout, and disciplined deleveraging ($300M prepaid in 2025, $100M in notes redeemed May 2026 toward a 2.0x net-leverage target by 2028) — represents genuine, costly strategic conviction [2][3]. At 9.24x forward earnings, the stock trades at a discount that could re-rate if the deleveraging and AI+ initiatives continue to translate into above-guidance growth.</w:t>
      </w:r>
    </w:p>
    <w:p>
      <w:pPr>
        <w:spacing w:after="120"/>
      </w:pPr>
      <w:r>
        <w:rPr>
          <w:rFonts w:ascii="Calibri" w:hAnsi="Calibri"/>
          <w:b w:val="0"/>
          <w:color w:val="3A4A28"/>
          <w:sz w:val="20"/>
        </w:rPr>
        <w:t>The bear case is centered on the February 2026 'AI scare trade,' when CWK shares fell 14% in a single day — the worst since COVID — on investor fears that AI could compress the high-fee, labor-intensive brokerage model CWK depends on; even if overstated near-term, this reflects a real and analyst-acknowledged structural risk [5]. Profitability metrics remain weak (ROE 3.95%, profit margin 0.70%) and leverage (D/E ~160%) sits well above target despite paydown progress [3]. CWK is also growing more slowly than CBRE and Newmark, suggesting relative share loss, and Glassdoor reviews citing high turnover and low morale raise questions about whether the leadership 'reset' is landing internally even as it reshapes strategy externally [4][6]. A pending ERISA class-action lawsuit over 401(k) climate-risk fund selection (filed March 2026) is a modest governance overhang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platform adoption and AI-driven leasing demand translating into above-guidance revenue growth, building on the record Q1 2026 result explicitly linked to AI activity [1][4]</w:t>
      </w:r>
    </w:p>
    <w:p>
      <w:pPr>
        <w:spacing w:before="40" w:after="40"/>
        <w:ind w:left="283"/>
      </w:pPr>
      <w:r>
        <w:rPr>
          <w:rFonts w:ascii="Calibri" w:hAnsi="Calibri"/>
          <w:b/>
          <w:color w:val="4A6B25"/>
          <w:sz w:val="20"/>
        </w:rPr>
        <w:t xml:space="preserve">2. </w:t>
      </w:r>
      <w:r>
        <w:rPr>
          <w:rFonts w:ascii="Calibri" w:hAnsi="Calibri"/>
          <w:b w:val="0"/>
          <w:color w:val="3A4A28"/>
          <w:sz w:val="20"/>
        </w:rPr>
        <w:t>Achieving the 2.0x net leverage target by 2028 through continued debt paydown, which would materially improve the Infrastructure D/E sub-score and could support multiple re-rating from the current 9.24x forward P/E [3]</w:t>
      </w:r>
    </w:p>
    <w:p>
      <w:pPr>
        <w:spacing w:before="40" w:after="40"/>
        <w:ind w:left="283"/>
      </w:pPr>
      <w:r>
        <w:rPr>
          <w:rFonts w:ascii="Calibri" w:hAnsi="Calibri"/>
          <w:b/>
          <w:color w:val="4A6B25"/>
          <w:sz w:val="20"/>
        </w:rPr>
        <w:t xml:space="preserve">3. </w:t>
      </w:r>
      <w:r>
        <w:rPr>
          <w:rFonts w:ascii="Calibri" w:hAnsi="Calibri"/>
          <w:b w:val="0"/>
          <w:color w:val="3A4A28"/>
          <w:sz w:val="20"/>
        </w:rPr>
        <w:t>Stabilization of the leadership team following the 70% turnover, translating MacKay's strategic 'reset' into improved Glassdoor sentiment and reduced attrition risk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February 2026 'AI scare trade' (14% single-day decline) signals real, analyst-acknowledged risk that AI automation of research, comp-screening and lease-abstraction work could compress brokerage fee economics over time [5]</w:t>
      </w:r>
    </w:p>
    <w:p>
      <w:pPr>
        <w:spacing w:before="40" w:after="40"/>
        <w:ind w:left="283"/>
      </w:pPr>
      <w:r>
        <w:rPr>
          <w:rFonts w:ascii="Calibri" w:hAnsi="Calibri"/>
          <w:b/>
          <w:color w:val="4A6B25"/>
          <w:sz w:val="20"/>
        </w:rPr>
        <w:t xml:space="preserve">2. </w:t>
      </w:r>
      <w:r>
        <w:rPr>
          <w:rFonts w:ascii="Calibri" w:hAnsi="Calibri"/>
          <w:b w:val="0"/>
          <w:color w:val="3A4A28"/>
          <w:sz w:val="20"/>
        </w:rPr>
        <w:t>ROE of 3.95%, profit margin of 0.70% and D/E of ~160% all sit well outside Infrastructure targets, leaving limited balance-sheet or profitability cushion if the AI+ growth thesis disappoints [3]</w:t>
      </w:r>
    </w:p>
    <w:p>
      <w:pPr>
        <w:spacing w:before="40" w:after="40"/>
        <w:ind w:left="283"/>
      </w:pPr>
      <w:r>
        <w:rPr>
          <w:rFonts w:ascii="Calibri" w:hAnsi="Calibri"/>
          <w:b/>
          <w:color w:val="4A6B25"/>
          <w:sz w:val="20"/>
        </w:rPr>
        <w:t xml:space="preserve">3. </w:t>
      </w:r>
      <w:r>
        <w:rPr>
          <w:rFonts w:ascii="Calibri" w:hAnsi="Calibri"/>
          <w:b w:val="0"/>
          <w:color w:val="3A4A28"/>
          <w:sz w:val="20"/>
        </w:rPr>
        <w:t>CWK's 9-11% revenue growth trails CBRE (+19%) and Newmark (+27%), suggesting the firm is losing relative competitive ground even as it invests heavily in AI and leadership change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CWK sits at the center of the February 2026 'AI scare trade' — shares fell 14% in a single day, the biggest drop since the 2020 COVID crash, as investors priced in fears that AI could automate the high-fee, labor-intensive research, comp-screening, lease-abstraction and marketing-draft work that underpins brokerage economics [5]. Analysts noted this may overstate near-term risk to complex, high-value dealmaking, which still requires human negotiation and market judgment, but the market reaction itself represents real, analyst-acknowledged disruption risk rather than speculation [5]. AI Opportunity (1/1): Management explicitly attributed record Q1 2026 revenue in part to AI-driven leasing demand, and the firm shipped its proprietary AI+ platform and AI Impact Barometer tool, with AI projected by CWK's own research to add 330 million square feet of U.S. CRE demand over the next decade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Cushman &amp; Wakefield Q1 2026 Earnings Release and Guidance — SEC 8-K, Investing.com, Ticker Report, May 2026</w:t>
      </w:r>
    </w:p>
    <w:p>
      <w:pPr>
        <w:spacing w:before="20" w:after="20"/>
        <w:ind w:left="170"/>
      </w:pPr>
      <w:r>
        <w:rPr>
          <w:rFonts w:ascii="Calibri" w:hAnsi="Calibri"/>
          <w:b/>
          <w:color w:val="4A6B25"/>
          <w:sz w:val="15"/>
        </w:rPr>
        <w:t xml:space="preserve">2. </w:t>
      </w:r>
      <w:r>
        <w:rPr>
          <w:rFonts w:ascii="Calibri" w:hAnsi="Calibri"/>
          <w:b w:val="0"/>
          <w:color w:val="3A4A28"/>
          <w:sz w:val="17"/>
        </w:rPr>
        <w:t>Fortune, ainvest.com — CEO Michelle MacKay Leadership 'Reset' and 70% Leadership Change, June 2025-2026</w:t>
      </w:r>
    </w:p>
    <w:p>
      <w:pPr>
        <w:spacing w:before="20" w:after="20"/>
        <w:ind w:left="170"/>
      </w:pPr>
      <w:r>
        <w:rPr>
          <w:rFonts w:ascii="Calibri" w:hAnsi="Calibri"/>
          <w:b/>
          <w:color w:val="4A6B25"/>
          <w:sz w:val="15"/>
        </w:rPr>
        <w:t xml:space="preserve">3. </w:t>
      </w:r>
      <w:r>
        <w:rPr>
          <w:rFonts w:ascii="Calibri" w:hAnsi="Calibri"/>
          <w:b w:val="0"/>
          <w:color w:val="3A4A28"/>
          <w:sz w:val="17"/>
        </w:rPr>
        <w:t>Cushman &amp; Wakefield Debt Redemption and Leverage Targets — TipRanks, MacroTrends, GuruFocus,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CIO Dive, Bisnow, BusinessWire — Cushman &amp; Wakefield AI+ Strategy, AI Impact Barometer and AI-Driven Revenue, 2026</w:t>
      </w:r>
    </w:p>
    <w:p>
      <w:pPr>
        <w:spacing w:before="20" w:after="20"/>
        <w:ind w:left="170"/>
      </w:pPr>
      <w:r>
        <w:rPr>
          <w:rFonts w:ascii="Calibri" w:hAnsi="Calibri"/>
          <w:b/>
          <w:color w:val="4A6B25"/>
          <w:sz w:val="15"/>
        </w:rPr>
        <w:t xml:space="preserve">5. </w:t>
      </w:r>
      <w:r>
        <w:rPr>
          <w:rFonts w:ascii="Calibri" w:hAnsi="Calibri"/>
          <w:b w:val="0"/>
          <w:color w:val="3A4A28"/>
          <w:sz w:val="17"/>
        </w:rPr>
        <w:t>Bisnow, Bloomberg, CRE Daily — 'AI Scare Trade' Real Estate Services Selloff, February 11, 2026</w:t>
      </w:r>
    </w:p>
    <w:p>
      <w:pPr>
        <w:spacing w:before="20" w:after="20"/>
        <w:ind w:left="170"/>
      </w:pPr>
      <w:r>
        <w:rPr>
          <w:rFonts w:ascii="Calibri" w:hAnsi="Calibri"/>
          <w:b/>
          <w:color w:val="4A6B25"/>
          <w:sz w:val="15"/>
        </w:rPr>
        <w:t xml:space="preserve">6. </w:t>
      </w:r>
      <w:r>
        <w:rPr>
          <w:rFonts w:ascii="Calibri" w:hAnsi="Calibri"/>
          <w:b w:val="0"/>
          <w:color w:val="3A4A28"/>
          <w:sz w:val="17"/>
        </w:rPr>
        <w:t>Glassdoor — Cushman &amp; Wakefield Company Reviews,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ESG Dive, Bloomberg Law — Cushman &amp; Wakefield 401(k) Climate-Risk ERISA Lawsuit,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