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CXM</w:t>
      </w:r>
      <w:r>
        <w:rPr>
          <w:rFonts w:ascii="Calibri" w:hAnsi="Calibri"/>
          <w:b/>
          <w:color w:val="1A2010"/>
          <w:sz w:val="40"/>
        </w:rPr>
        <w:t xml:space="preserve">  Sprinklr, Inc.</w:t>
      </w:r>
    </w:p>
    <w:p>
      <w:pPr>
        <w:spacing w:after="120"/>
      </w:pPr>
      <w:r>
        <w:rPr>
          <w:rFonts w:ascii="Calibri" w:hAnsi="Calibri"/>
          <w:b/>
          <w:color w:val="6E8450"/>
          <w:sz w:val="18"/>
        </w:rPr>
        <w:t>GROWTH SLEEVE · 2026-07-12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Sprinklr provides a unified AI-powered customer experience management (CXM) platform enabling enterprises to manage customer interactions across 30+ digital channels including social media, messaging, email, and voice. Products include AI agents resolving up to 40% of inquiries, Sprinklr Digital Twin (AI brand representation), contact center intelligence, and generative AI-native service SKUs. Serves large enterprises with subscription SaaS model. Founded in 2009 by Ragy Thomas (Chairman), with CEO Rory Read (ex-Dell) appointed November 2024.</w:t>
      </w:r>
    </w:p>
    <w:p>
      <w:r>
        <w:rPr>
          <w:rFonts w:ascii="Calibri" w:hAnsi="Calibri"/>
          <w:b/>
          <w:color w:val="6E8450"/>
          <w:sz w:val="18"/>
        </w:rPr>
        <w:t>4,000 Employees · https://www.sprinklr.com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Sprinklr evolved from social media management to unified CXM platform integrating 30+ channels, then pivoted to AI-native architecture — generative AI service SKUs grew 50% YoY in FY2026, and Q1 FY2027 revenue of $219.5M beat consensus, validating the AI-powered pivot [1][2]. AI Deployment (2/2): AI products are shipping with measurable results — AI agents resolve up to 40% of customer inquiries, Sprinklr Digital Twin enables AI brand representation, and gen AI SKUs grew 50% YoY with strong demand for contact center intelligence [2][3]. Market Share (1/2): Recognized player in unified CXM but faces competition from Salesforce Agentforce, Adobe, Microsoft Copilot, and Qualtrics; net dollar expansion of 102-103% signals stable but not dominant share [1]. Product Pipeline (1/2): AI agents, Digital Twin, and Sprinklr Surveys with generative AI in active development; SAMY partnership expanded for AI-driven social analytics, though specific next-gen timelines are vague [2][3]. R&amp;D Intensity (1/1): As a $857M revenue SaaS company, R&amp;D spend estimated at 25-30% of revenue places Sprinklr in the top quartile for enterprise software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Sprinklr's mission centers on unifying customer experience management — enabling organizations to manage every customer interaction from a single platform [3]. Clear and operational but interchangeable with most CXM competitors; it describes a product architecture, not a transformative purpose beyond business utility. Community Impact (0/2): No evidence of distinctive charitable programs, community investment, or foundation activity found. Corporate giving appears limited to standard enterprise benchmarks. Employee Retention (0/2): Glassdoor rating 3.4/5 with only 52% recommending; multiple reviews cite 'toxic work culture,' 'poor work-life balance,' and 'top management messed up' [4]. CEO transition from founder Ragy Thomas to Rory Read caused organizational instability with reports of 'a lot of leadership exits.' Insider Buying (0/2): Ragy Thomas stepped from CEO to Chairman. While the company authorized a $200M buyback ($125M accelerated), corporate repurchases are not personal insider purchases. No evidence of net open-market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Balance sheet is exceptionally clean: D/E of 9% with $474M cash against $48M debt, producing net cash of $426M representing 36% of the $1.17B market cap [1][5]. Revenue growth 5yr CAGR of ~15% (from ~$500M FY2022 to $857M FY2026) scores at target. Forward GAAP P/E estimated at ~28x (market cap $1.17B against estimated FY2027 GAAP net income of ~$40M) is moderate, scoring 0.8. Trailing GAAP profit margin of 2.7% is severely below the 20% target due to one-time $16.8M loss, but normalizing gives ~4.6%, still well below target [1][5]. ROE of ~7% (GAAP trailing) scores 0.47. Estimated forward PEG of ~1.87 (28/15% growth) scores 0.57. Weighted calculation yields 7.0/10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Sprinklr operates as a primarily finite player focused on platform consolidation and quarterly execution rather than advancing a transformative vision. The leadership transition from founder-CEO Ragy Thomas to operational executive Rory Read prioritized near-term stabilization over visionary leadership. Strategy pivots ('back to the core'), organizational instability, and the reactive nature of the CEO transition suggest optimization for market conditions rather than commitment to an enduring cause. Sinek would identify the absence of a Just Cause beyond 'winning CXM' and the cultural toxicity as hallmarks of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Sprinklr's vision is unifying the front office for better customer experience — a platform architecture thesis rather than a transformative cause that invites sacrifice [3]. The company exists to consolidate fragmented CXM tools, not to advance a vision of a better future that transcends the business itself. Founder Ragy Thomas' original aspiration had some idealism but was not institutionalized enough to survive his CEO departure — the purpose didn't outlive the leader, a classic finite signal.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evidenced by Glassdoor 3.4/5 with only 52% recommending, and multiple reviews explicitly citing 'toxic work culture,' 'poor work-life balance,' and 'top management messed up' [4]. Reports of 'a lot of leadership exits' under new CEO Rory Read, plus strategy described as 'pivoting back and forth,' indicate organizational instability incompatible with psychological safety. The CEO transition itself was reactive rather than planned succession.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Sprinklr acknowledges competing against Salesforce, Adobe, Microsoft, and Qualtrics and positions itself through differentiation (unified platform, AI agents) rather than competitive destruction [2][3]. The company's language focuses on the platform consolidation value proposition and learning from AI-native approaches of competitors to improve its own capabilities. Management commentary references competitive dynamics as motivation for AI investment rather than framing rivals as enemies to defeat.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Sprinklr has made meaningful strategic pivots — from social media management to unified CXM platform, then to AI-native architecture with digital twins, autonomous agents, and 50% YoY growth in gen AI SKUs [1][2]. The founder-to-operator CEO transition and 'grow the core' reset demonstrate adaptation. However, these are incremental platform expansions rather than transformative reinventions — the company didn't abandon a working business model to pursue something fundamentally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AI agents and shipping gen AI capabilities (50% SKU growth) while guiding FY27 to only ~1% revenue growth shows some willingness to accept near-term weakness for long-term capability [1][3]. The $200M buyback authorization ($125M accelerated) at depressed ~$5 share price demonstrates capital allocation conviction. However, the courage is tempered by the CEO transition being forced by performance issues rather than chosen, and the 'back to core' strategy reads as defensive retrenchment rather than bold forward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Sprinklr delivered FY2026 revenue of $857M (7.6% growth) with Q1 FY2027 beating estimates at $219.5M, suggesting the 1% FY27 guidance was conservative and growth is stabilizing under CEO Rory Read [1][5]. The balance sheet is a fortress — $474M cash, $48M debt, net cash of $426M — against a market cap of $1.17B, meaning 36% of market cap is backed by cash. AI products are demonstrably gaining traction: gen AI SKUs grew 50% YoY, AI agents resolve 40% of inquiries, and Sprinklr Digital Twin is shipping [2][3]. Non-GAAP operating margin expanded from 11% to 17% in FY2026, and best renewal rates in four quarters signal improving customer retention.</w:t>
      </w:r>
    </w:p>
    <w:p>
      <w:pPr>
        <w:spacing w:after="120"/>
      </w:pPr>
      <w:r>
        <w:rPr>
          <w:rFonts w:ascii="Calibri" w:hAnsi="Calibri"/>
          <w:b w:val="0"/>
          <w:color w:val="3A4A28"/>
          <w:sz w:val="20"/>
        </w:rPr>
        <w:t>The bear case is substantial. Revenue growth decelerated to 7.6% in FY2026 with FY27 initially guided to only ~1%, reflecting competitive pressure from Salesforce Agentforce, Microsoft Copilot, and AI-native startups directly targeting Sprinklr's CXM workflow [1][3]. GAAP profit margin of just 2.7% (impacted by one-time loss) reveals fragile profitability beneath non-GAAP adjustments. Cultural instability is a persistent concern — Glassdoor 3.4/5 with 'toxic work culture' commentary, 'leadership exits,' and strategy described as 'pivoting back and forth' under the new CEO [4]. Net dollar expansion of 102% barely exceeds breakeven, suggesting limited wallet-share growth within existing accounts. The 17-year-old platform carries technical debt that may limit AI integration speed versus purpose-built competitors, and the company's $1.17B market cap leaves it vulnerable to M&amp;A at a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revenue beat ($219.5M vs consensus $215.9M) suggests FY27 growth could exceed the conservative ~1% guide, potentially rerating the stock if sustained acceleration materializes</w:t>
      </w:r>
    </w:p>
    <w:p>
      <w:pPr>
        <w:spacing w:before="40" w:after="40"/>
        <w:ind w:left="283"/>
      </w:pPr>
      <w:r>
        <w:rPr>
          <w:rFonts w:ascii="Calibri" w:hAnsi="Calibri"/>
          <w:b/>
          <w:color w:val="4A6B25"/>
          <w:sz w:val="20"/>
        </w:rPr>
        <w:t xml:space="preserve">2. </w:t>
      </w:r>
      <w:r>
        <w:rPr>
          <w:rFonts w:ascii="Calibri" w:hAnsi="Calibri"/>
          <w:b w:val="0"/>
          <w:color w:val="3A4A28"/>
          <w:sz w:val="20"/>
        </w:rPr>
        <w:t>AI agents resolving 40% of inquiries and gen AI SKUs growing 50% YoY could drive net dollar expansion above 110% as enterprise adoption deepens through 2026-2027</w:t>
      </w:r>
    </w:p>
    <w:p>
      <w:pPr>
        <w:spacing w:before="40" w:after="40"/>
        <w:ind w:left="283"/>
      </w:pPr>
      <w:r>
        <w:rPr>
          <w:rFonts w:ascii="Calibri" w:hAnsi="Calibri"/>
          <w:b/>
          <w:color w:val="4A6B25"/>
          <w:sz w:val="20"/>
        </w:rPr>
        <w:t xml:space="preserve">3. </w:t>
      </w:r>
      <w:r>
        <w:rPr>
          <w:rFonts w:ascii="Calibri" w:hAnsi="Calibri"/>
          <w:b w:val="0"/>
          <w:color w:val="3A4A28"/>
          <w:sz w:val="20"/>
        </w:rPr>
        <w:t>Net cash position of $426M (36% of market cap) plus $200M buyback authorization provides downside protection and optionality for accretive M&amp;A or capital return at depressed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Salesforce Agentforce, Microsoft Copilot, and AI-native startups directly target Sprinklr's value proposition — competitive moat is narrowing as hyperscalers deploy AI agents on platforms with larger installed bases</w:t>
      </w:r>
    </w:p>
    <w:p>
      <w:pPr>
        <w:spacing w:before="40" w:after="40"/>
        <w:ind w:left="283"/>
      </w:pPr>
      <w:r>
        <w:rPr>
          <w:rFonts w:ascii="Calibri" w:hAnsi="Calibri"/>
          <w:b/>
          <w:color w:val="4A6B25"/>
          <w:sz w:val="20"/>
        </w:rPr>
        <w:t xml:space="preserve">2. </w:t>
      </w:r>
      <w:r>
        <w:rPr>
          <w:rFonts w:ascii="Calibri" w:hAnsi="Calibri"/>
          <w:b w:val="0"/>
          <w:color w:val="3A4A28"/>
          <w:sz w:val="20"/>
        </w:rPr>
        <w:t>Cultural instability and leadership exits under new CEO threaten execution of the AI-driven turnaround in a market where engineering talent retention is critical for product differentiation</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2.7% and ROE of 7% reveal that the business generates inadequate returns on equity despite $857M revenue, risking value-trap status if growth doesn't reaccelerate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The CXM platform market is EXPOSED to meaningful AI disruption — AI chatbots, autonomous agents, and LLM-powered tools from Salesforce Agentforce, Microsoft Copilot, and AI-native startups can increasingly handle customer interactions without unified platform orchestration [2][3]. Sprinklr's core value proposition of aggregating 30+ channels faces substitution risk as AI agents independently manage cross-channel conversations. The company's data moat from years of enterprise customer interaction data and existing relationships provide some protection, but the 102% net dollar expansion rate signals customers are not significantly expanding usage, possibly reflecting competitive pressure on wallet share. AI Opportunity (1/1): AI is explicitly the product — AI agents resolving 40% of inquiries, gen AI SKUs growing 50% YoY, Sprinklr Digital Twin shipping to enterprise customers, generating quantifiable AI-powered subscription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Sprinklr FY2026 Full Year and Q4 Earnings Release — SEC Form 8-K, $857M revenue +7.6%, 17% non-GAAP op margin, $200M buyback, March 2026</w:t>
      </w:r>
    </w:p>
    <w:p>
      <w:pPr>
        <w:spacing w:before="20" w:after="20"/>
        <w:ind w:left="170"/>
      </w:pPr>
      <w:r>
        <w:rPr>
          <w:rFonts w:ascii="Calibri" w:hAnsi="Calibri"/>
          <w:b/>
          <w:color w:val="4A6B25"/>
          <w:sz w:val="15"/>
        </w:rPr>
        <w:t xml:space="preserve">2. </w:t>
      </w:r>
      <w:r>
        <w:rPr>
          <w:rFonts w:ascii="Calibri" w:hAnsi="Calibri"/>
          <w:b w:val="0"/>
          <w:color w:val="3A4A28"/>
          <w:sz w:val="17"/>
        </w:rPr>
        <w:t>Sprinklr Q3 FY2026 Earnings Call and AI Product Strategy — GuruFocus, AI agents, Digital Twin, gen AI SKUs +50%, December 2025</w:t>
      </w:r>
    </w:p>
    <w:p>
      <w:pPr>
        <w:spacing w:before="20" w:after="20"/>
        <w:ind w:left="170"/>
      </w:pPr>
      <w:r>
        <w:rPr>
          <w:rFonts w:ascii="Calibri" w:hAnsi="Calibri"/>
          <w:b/>
          <w:color w:val="4A6B25"/>
          <w:sz w:val="15"/>
        </w:rPr>
        <w:t xml:space="preserve">3. </w:t>
      </w:r>
      <w:r>
        <w:rPr>
          <w:rFonts w:ascii="Calibri" w:hAnsi="Calibri"/>
          <w:b w:val="0"/>
          <w:color w:val="3A4A28"/>
          <w:sz w:val="17"/>
        </w:rPr>
        <w:t>Sprinklr Spring '26 Platform Release and AI Capabilities — CallCentreHelper.com, CMSWire, 2026</w:t>
      </w:r>
    </w:p>
    <w:p>
      <w:pPr>
        <w:spacing w:before="20" w:after="20"/>
        <w:ind w:left="170"/>
      </w:pPr>
      <w:r>
        <w:rPr>
          <w:rFonts w:ascii="Calibri" w:hAnsi="Calibri"/>
          <w:b/>
          <w:color w:val="4A6B25"/>
          <w:sz w:val="15"/>
        </w:rPr>
        <w:t xml:space="preserve">4. </w:t>
      </w:r>
      <w:r>
        <w:rPr>
          <w:rFonts w:ascii="Calibri" w:hAnsi="Calibri"/>
          <w:b w:val="0"/>
          <w:color w:val="3A4A28"/>
          <w:sz w:val="17"/>
        </w:rPr>
        <w:t>Sprinklr Employee Reviews and Culture Assessment — Glassdoor 3.4/5, 52% recommend, leadership exits,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Simply Wall St — CXM price $5.35, market cap $1.17B, P/E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