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CXW</w:t>
      </w:r>
      <w:r>
        <w:rPr>
          <w:rFonts w:ascii="Calibri" w:hAnsi="Calibri"/>
          <w:b/>
          <w:color w:val="1A2010"/>
          <w:sz w:val="40"/>
        </w:rPr>
        <w:t xml:space="preserve">  CoreCivic, Inc.</w:t>
      </w:r>
    </w:p>
    <w:p>
      <w:pPr>
        <w:spacing w:after="120"/>
      </w:pPr>
      <w:r>
        <w:rPr>
          <w:rFonts w:ascii="Calibri" w:hAnsi="Calibri"/>
          <w:b/>
          <w:color w:val="6E8450"/>
          <w:sz w:val="18"/>
        </w:rPr>
        <w:t>GROWTH SLEEVE · 2026-08-06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CoreCivic, Inc. is the largest private owner of correctional and detention facilities in the United States, operating approximately 72 facilities with roughly 76,000 beds. The company provides corrections, detention, and residential reentry services to federal, state, and local government agencies. CoreCivic operates through three segments: CoreCivic Safety (corrections and detention), CoreCivic Community (residential reentry centers), and CoreCivic Properties (real estate solutions for government partners). The company's largest federal customer is U.S. Immigration and Customs Enforcement (ICE), whose revenue nearly doubled in Q1 2026. New CEO Patrick Swindle succeeded long-tenured Damon Hininger (2009-2025) effective January 1, 2026. Headquartered in Brentwood, Tennessee.</w:t>
      </w:r>
    </w:p>
    <w:p>
      <w:r>
        <w:rPr>
          <w:rFonts w:ascii="Calibri" w:hAnsi="Calibri"/>
          <w:b/>
          <w:color w:val="6E8450"/>
          <w:sz w:val="18"/>
        </w:rPr>
        <w:t>11,649 Employees · https://www.corecivic.com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CoreCivic has responded aggressively to policy tailwinds, reactivating four previously idled facilities since Q1 2025 and nearly doubling ICE revenue to $261.3M in Q1 2026 [1]. The company sold two facilities to DHS for $734M in August 2026, monetizing real estate at premium valuations [1]. However, these are operational responses to government policy shifts (increased immigration enforcement), not innovative products, market pivots, or business model transformations. The core business — operating detention and correctional facilities — is fundamentally unchanged from a decade ago. AI Deployment (0/2): No evidence of AI-powered products, services, or measurable AI-driven operational improvements was identified [2]. CoreCivic operates physical facilities with labor-intensive security and management processes. Market Share (1/2): CoreCivic is one of only two major publicly traded private corrections companies (alongside GEO Group), holding a meaningful share of the private detention and corrections market [1]. However, the company is not innovating the market or defining a category — it fills existing government demand. Pipeline (0/2): No next-generation products or services with specific timelines were identified. The 'pipeline' consists of potential government contract awards and facility reactivations, which are policy-dependent rather than innovation-driven [1]. R&amp;D Intensity (0/1): No R&amp;D spending. CoreCivic is a facilities operator with no technology development program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CoreCivic describes its purpose as 'bettering the public good' through corrections, detention, and reentry services. The company's expansion of reentry programs and creation of the Chief Corrections and Reentry Officer (CCRO) role show some effort to articulate purpose beyond warehousing inmates [2]. However, the private prison industry's core business model — profiting from incarceration — creates a fundamental tension with any inspirational mission. The company's revenue nearly doubling from ICE contracts is driven by policy, not mission. The mission statement is generic and indistinguishable from industry peers. Community Impact (0/2): No evidence of distinctive charitable programs or community investment was found [3]. The private prison industry faces persistent criticism that its operations harm communities through mass incarceration and family separation, creating a net-negative community perception regardless of internal programs. Employee Retention (0/2): CoreCivic has 11,649 employees in corrections and detention roles, which are inherently high-turnover positions [1]. Outgoing CEO Hininger's 16-year tenure (2009-2025) demonstrated leadership continuity, but the new CEO (Swindle) is untested. No employee retention data was identified. Insider Buying (0/2): Insiders have only sold shares in the past 3 months, with a sustained pattern of insider selling despite the stock's strong performance [3]. This contrasts with the bullish revenue and earnings trajectory and may signal that leadership views the policy-driven growth as temporary.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suspended). D/E of 102% reflects moderate leverage appropriate for a capital-intensive facilities operator [1]. ROE of 9.01% is below the 15% target but improving as facility reactivations drive incremental revenue on existing assets [1]. Revenue growth is exceptional at 27% YoY (average of Q1 25.8% and Q2 27.3%), driven by ICE facility reactivations and new contract activations [1]. The 5-year revenue CAGR of 5.9% reflects the longer-term historical baseline before the current policy-driven surge. Forward P/E of 13.25 is attractively below the 20 target, suggesting the market prices meaningful execution or policy risk [1]. Profit margin of 5.53% is typical for corrections operators with labor-intensive cost structures. PEG ratio was not available and excluded from calculation. The $734M in facility sales to DHS provides significant near-term liquidity and demonstrates asset value realization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CoreCivic is the quintessential finite game player in Sinek's framework. The company's revenue is driven by government policy decisions it cannot control — immigration enforcement levels, incarceration rates, and political appetite for private corrections. The core business model (profiting from incarceration) creates a structural misalignment with any Just Cause beyond shareholder returns. The sustained pattern of insider selling during a period of record earnings growth reveals that even leadership views the current environment as a window to extract value rather than a foundation for enduring purpose. The CEO transition from Hininger to Swindle was well-planned, but the new leader inherits a company whose fortunes rise and fall with election cycles, not with the advancement of a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CoreCivic does not have a Just Cause in Sinek's framework. The company's stated mission of 'bettering the public good' through corrections services is contradicted by a business model that profits from higher incarceration and detention rates [1]. A genuine Just Cause requires that the company's success advance a positive vision for the world — CoreCivic's success requires more people being incarcerated, which is fundamentally misaligned with societal well-being. The reentry programs are laudable but represent a small portion of revenue and do not change the core incentive structure. Sinek would view this as a company that exists to maximize shareholder value in a policy-dependent environment,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Corrections and detention facilities are inherently low-trust work environments — staff manage confined populations in high-stress, security-critical settings [2]. The industry is characterized by high turnover, shift work, and occupational hazards. While outgoing CEO Hininger provided 16 years of leadership stability, no evidence of exceptional employee empowerment, psychological safety, or mission-driven retention was identified. The sustained pattern of insider selling during record earnings growth creates a disconnect between leadership actions and organizational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CoreCivic's competitive landscape is a policy-driven duopoly with GEO Group. The competitive dynamic is about securing government contracts through political relationships and capacity availability, not about learning from rivals or improving through competitive pressure [1]. No management commentary about worthy rivals, competitive learning, or self-improvement through competitive dynamics was identified. The private corrections industry competes primarily on cost, capacity, and political access.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CoreCivic has demonstrated incremental strategic evolution: rebranding from CCA (Corrections Corporation of America) to CoreCivic, creating the Chief Corrections and Reentry Officer (CCRO) role, expanding into residential reentry services, and developing the CoreCivic Properties segment for real estate solutions [2]. The $734M facility sale to DHS represents a willingness to monetize assets and evolve the business model from operating to selling. However, the core business remains unchanged: operating correctional and detention facilities for government agencies. No transformative pivot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planned CEO transition from Hininger (16-year tenure) to Swindle (18 years of industry experience) was executed with a year of overlap and clear succession planning, showing organizational discipline [2]. The decision to sell two facilities to DHS for $734M while simultaneously reactivating other facilities demonstrates active portfolio management [1]. However, these decisions are primarily driven by financial optimization and policy opportunity rather than by commitment to a Just Cause. The suspension of the dividend, while pragmatic for capital allocation, removes a tool for demonstrating long-term commitment to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CoreCivic is delivering exceptional near-term financial performance driven by a favorable policy environment: Q1 2026 revenue surged 25.8% to $614.7M and Q2 grew 27.3% to $684.9M, with ICE revenue nearly doubling as four previously idled facilities were reactivated [1]. Full-year 2026 guidance projects adjusted EBITDA of $453.8-$461.8M and net income of $147.8-$157.8M. The company has monetized assets aggressively, selling two facilities to DHS for $734M in August 2026. At a forward P/E of 13.25, the stock is attractively valued relative to earnings growth of 63% YoY. EPS growth of 9.7% compounded over five years demonstrates consistent earnings expansion even through prior policy headwinds. The operational leverage is significant — reactivating idle facilities generates revenue on existing assets with minimal incremental capital expenditure.</w:t>
      </w:r>
    </w:p>
    <w:p>
      <w:pPr>
        <w:spacing w:after="120"/>
      </w:pPr>
      <w:r>
        <w:rPr>
          <w:rFonts w:ascii="Calibri" w:hAnsi="Calibri"/>
          <w:b w:val="0"/>
          <w:color w:val="3A4A28"/>
          <w:sz w:val="20"/>
        </w:rPr>
        <w:t>The bear case is dominated by policy risk and ESG concerns: CoreCivic's business model is entirely dependent on government policy decisions regarding immigration enforcement, incarceration, and private corrections contracting [1]. Any change in political administration, executive order, or legislative action could rapidly reverse ICE demand — the Biden administration's 2021 executive order to phase out private prisons demonstrates this policy vulnerability, and the current growth cycle could reverse equally fast. Sustained insider selling during record earnings growth raises concerns that leadership views the current environment as a temporary window rather than a durable trend [3]. The suspended dividend removes a capital return mechanism and may signal management uncertainty about future cash flows. ESG and governance headwinds limit the investor base — many institutional investors, pension funds, and ESG-focused allocators exclude private prison operators. The 5.53% profit margin leaves limited cushion for cost increases, and the labor-intensive business model faces wage pressure in a tight correctional officer labor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ICE facility demand and potential additional government contracts as immigration enforcement policies drive occupancy rates above historical levels across CoreCivic's 76,000-bed portfolio</w:t>
      </w:r>
    </w:p>
    <w:p>
      <w:pPr>
        <w:spacing w:before="40" w:after="40"/>
        <w:ind w:left="283"/>
      </w:pPr>
      <w:r>
        <w:rPr>
          <w:rFonts w:ascii="Calibri" w:hAnsi="Calibri"/>
          <w:b/>
          <w:color w:val="4A6B25"/>
          <w:sz w:val="20"/>
        </w:rPr>
        <w:t xml:space="preserve">2. </w:t>
      </w:r>
      <w:r>
        <w:rPr>
          <w:rFonts w:ascii="Calibri" w:hAnsi="Calibri"/>
          <w:b w:val="0"/>
          <w:color w:val="3A4A28"/>
          <w:sz w:val="20"/>
        </w:rPr>
        <w:t>Additional asset monetization through facility sales to government agencies at premium valuations, following the $734M DHS transaction model, unlocking embedded real estate value</w:t>
      </w:r>
    </w:p>
    <w:p>
      <w:pPr>
        <w:spacing w:before="40" w:after="40"/>
        <w:ind w:left="283"/>
      </w:pPr>
      <w:r>
        <w:rPr>
          <w:rFonts w:ascii="Calibri" w:hAnsi="Calibri"/>
          <w:b/>
          <w:color w:val="4A6B25"/>
          <w:sz w:val="20"/>
        </w:rPr>
        <w:t xml:space="preserve">3. </w:t>
      </w:r>
      <w:r>
        <w:rPr>
          <w:rFonts w:ascii="Calibri" w:hAnsi="Calibri"/>
          <w:b w:val="0"/>
          <w:color w:val="3A4A28"/>
          <w:sz w:val="20"/>
        </w:rPr>
        <w:t>Dividend reinstatement using strong free cash flow ($453-462M adjusted EBITDA guidance), which would attract income-focused investors and signal management confidence in sustained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Policy reversal risk — CoreCivic's revenue surge is entirely policy-driven; any shift in immigration enforcement, executive orders to phase out private corrections, or reduced federal detention budgets would rapidly compress occupancy and earnings</w:t>
      </w:r>
    </w:p>
    <w:p>
      <w:pPr>
        <w:spacing w:before="40" w:after="40"/>
        <w:ind w:left="283"/>
      </w:pPr>
      <w:r>
        <w:rPr>
          <w:rFonts w:ascii="Calibri" w:hAnsi="Calibri"/>
          <w:b/>
          <w:color w:val="4A6B25"/>
          <w:sz w:val="20"/>
        </w:rPr>
        <w:t xml:space="preserve">2. </w:t>
      </w:r>
      <w:r>
        <w:rPr>
          <w:rFonts w:ascii="Calibri" w:hAnsi="Calibri"/>
          <w:b w:val="0"/>
          <w:color w:val="3A4A28"/>
          <w:sz w:val="20"/>
        </w:rPr>
        <w:t>Sustained insider selling during record earnings growth signals that leadership may view the current policy-driven tailwind as temporary rather than structural, undermining the long-term investment case</w:t>
      </w:r>
    </w:p>
    <w:p>
      <w:pPr>
        <w:spacing w:before="40" w:after="40"/>
        <w:ind w:left="283"/>
      </w:pPr>
      <w:r>
        <w:rPr>
          <w:rFonts w:ascii="Calibri" w:hAnsi="Calibri"/>
          <w:b/>
          <w:color w:val="4A6B25"/>
          <w:sz w:val="20"/>
        </w:rPr>
        <w:t xml:space="preserve">3. </w:t>
      </w:r>
      <w:r>
        <w:rPr>
          <w:rFonts w:ascii="Calibri" w:hAnsi="Calibri"/>
          <w:b w:val="0"/>
          <w:color w:val="3A4A28"/>
          <w:sz w:val="20"/>
        </w:rPr>
        <w:t>ESG exclusion from institutional portfolios — many pension funds, sovereign wealth funds, and ESG-focused allocators categorically exclude private prison operators, limiting the stock's potential investor base and creating a valuation ceiling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CoreCivic operates physical correctional and detention facilities requiring human security staff, physical infrastructure, government security clearances, and regulatory compliance that AI structurally cannot replace [1]. Incarceration and detention are inherently physical — no AI system can substitute for housing, feeding, securing, and managing detained individuals. Government contracts require physical facility inspections, staffing ratios mandated by regulation, and security protocols that cannot be automated. If anything, increased AI adoption in law enforcement (facial recognition, predictive policing, border surveillance) could increase the flow of individuals into detention facilities, benefiting CoreCivic's occupancy rates. The deeply regulated government contracting environment creates additional barriers to AI disruption [2]. AI Opportunity (0/1): No AI-related revenue or products were identified. CoreCivic is a physical facilities operator with no technology product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CoreCivic Q1 and Q2 2026 Earnings Releases, FY2026 Guidance, and DHS Facility Sales — CoreCivic Investor Relations, StockTitan,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CoreCivic CEO Transition, CCRO Role, Organizational Culture, and Mission — CoreCivic.com, Yahoo Finance, ZoomInfo,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CoreCivic Insider Selling Activity, Dividend Suspension, and ESG/Governance Concerns — Simply Wall St, GuruFocus, Seeking Alpha,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