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CYTK</w:t>
      </w:r>
      <w:r>
        <w:rPr>
          <w:rFonts w:ascii="Calibri" w:hAnsi="Calibri"/>
          <w:b/>
          <w:color w:val="1A2010"/>
          <w:sz w:val="40"/>
        </w:rPr>
        <w:t xml:space="preserve">  Cytokinetics, Incorporated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2026-07-18 · Inspire: 38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Cytokinetics, Incorporated is a late-stage biopharmaceutical company focused on discovering, developing, and commercializing muscle-biology-directed therapeutics for debilitating diseases of the cardiovascular and neuromuscular systems. Its lead product, aficamten (marketed as MYQORZO), a next-in-class cardiac myosin inhibitor, received FDA approval in December 2025 and European Commission approval in February 2026 for symptomatic obstructive hypertrophic cardiomyopathy (oHCM), transforming the company from a 25-year development-stage biotech into a commercial-stage company. Founded in 1998 and headquartered in South San Francisco, California, the company is pursuing label expansion into non-obstructive HCM via the ACACIA-HCM trial (sNDA PDUFA date November 14, 2026) while competing against Bristol Myers Squibb's Camzyos (mavacamten) in a cardiac myosin inhibitor duopoly.</w:t>
      </w:r>
    </w:p>
    <w:p>
      <w:r>
        <w:rPr>
          <w:rFonts w:ascii="Calibri" w:hAnsi="Calibri"/>
          <w:b/>
          <w:color w:val="6E8450"/>
          <w:sz w:val="18"/>
        </w:rPr>
        <w:t>673 Employees · https://www.cytokinetics.com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Cytokinetics achieved its first-ever FDA approval in December 2025 for aficamten/MYQORZO in obstructive HCM, followed by European Commission approval in February 2026 — a genuine transformation from 25 years of development-stage R&amp;D into a commercial-stage company [1][6]. However, the launch was preceded by a securities fraud class action alleging the company misled investors about the NDA timeline and failed to disclose REMS-related risk that delayed approval from the original 2H2025 target, tempering an otherwise strong milestone [5]. AI Deployment (0/2): No evidence of measurable AI-driven R&amp;D or operational results; Glassdoor reviews describe the company's 'IT strategy and AI strategy' as 'fit for a company of less than 100 people in the late 90s' with 'backwards computer systems' [3]. Market Share (1/2): Management targets &gt;50% U.S. share of the myosin-inhibitor category long-term and Q1 2026 launch metrics were encouraging (680 patients, 275 prescribing HCPs in ~9 weeks), but aficamten remains the clear challenger to BMS's Camzyos, which has a three-plus-year incumbency head start [1][6]. Product Pipeline (2/2): Named, dated pipeline includes the MAPLE-HCM sNDA for non-obstructive HCM (PDUFA November 14, 2026) and the ACACIA-HCM Phase 3 trial, which met both dual primary endpoints (KCCQ and exercise performance) [1][6]. R&amp;D Intensity (1/1): TTM R&amp;D spend of $411.7M against TTM revenue of only $105.8M (~389% of revenue) reflects an R&amp;D commitment far exceeding typical large-pharma peer ratios of 15-20% of revenue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Cytokinetics' stated purpose — developing muscle-biology-directed medicines for people with debilitating cardiovascular and neuromuscular diseases — is specific and mechanistically distinctive, and its 'Vision 2030' goal of becoming the leading muscle-focused specialty biopharma is now partially validated by the company's first FDA approval after a quarter-century of pure R&amp;D [1][7]. It falls short of a 4 because the company remains single-product with an unresolved going-concern profile. Community Impact (1/2): Inspire Insight attributes positive marks for 'Product Access and Affordability,' suggesting some patient-access commitment, but no dedicated large-scale charitable or community program was identified in available disclosures. Employee Retention (0/2): Glassdoor rates the company 3.0/5 (63 reviews, 2.8/5 in San Francisco), and Comparably scores leadership a 'D' in the bottom 20% of similarly sized companies, with reviewers describing an insular 'in-group' of roughly 20 people who have worked together 20+ years and two executives who make effectively all decisions [3]. Insider Buying (0/2): SEC Form 4 filings show a consistent pattern of insider selling in 2026 — CEO Robert Blum sold shares in May, July 1, and July 13, 2026 ($77-$85/share), and the CFO and an EVP exercised options and sold immediately — with no offsetting open-market insider purchases identified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metrics; liquidity floor check passes comfortably — 20-day average volume of ~2.41M shares at $80.18/share is roughly $193.5M in daily dollar volume, far above the $1M threshold [2]. Trailing P/E, Forward P/E, and PEG are excluded as not meaningful (the company posted a $829.6M TTM net loss with no analyst consensus path to near-term profitability) [2]. Return on Equity is also excluded: because stockholders' equity is negative (-$826.6M), dividing a negative net loss by negative equity produces a mathematically positive but meaningless ratio [2]. Debt-to-Equity is manually floored at 0 rather than computed via the standard formula, because negative equity of -$826.6M against $1.29B total debt represents a leverage/insolvency risk more severe than the rubric's 300% floor, not less [2]. Profit Margin floors at 0 given a TTM margin of roughly -784% [2]. Revenue Growth YoY scores a full 1.0 (TTM +450.6%), though this reflects a small-base effect from the January 2026 MYQORZO launch rather than durable operating leverage [2]. Revenue Growth 5yr CAGR (FY2021 $70.4M to FY2025 $88.0M, the longest window available) computes to approximately +5.7%, partial credit against the 10% target [2]. Net weighted score across the four scorable metrics (D/E, Revenue YoY, Revenue 5yr CAGR, Profit Margin) is 5/10, reflecting real balance-sheet fragility offset by launch-driven top-line growth.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Cytokinetics displays real elements of infinite-game thinking — a specific, mechanistically distinctive Just Cause pursued for 25 years before its first approval, and a genuine willingness to redirect its pipeline toward commercialization and label expansion after decades of pure R&amp;D. But the mindset is undercut by governance and culture red flags: an insular leadership 'in-group,' a bottom-quintile Comparably leadership grade, and a securities fraud lawsuit alleging the company was not forthright about regulatory risk ahead of its NDA timeline. The result is a company with an admirable long-horizon cause that has not yet built the trusting internal culture or unimpeachable candor that would make it a clear infinite player.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Cytokinetics' cause — developing muscle-biology medicines for debilitating cardiovascular and neuromuscular disease — is specific, resilient, and service-oriented, and 'Vision 2030' explicitly targets becoming the leading muscle-focused specialty biopharma with global patient access [1][7]. The cause is only partially validated: the company's first approval (MYQORZO) is real, but the securities fraud litigation alleging misleading NDA-timeline disclosures and the company's ongoing negative-equity balance sheet raise questions about whether execution has fully matched the stated ideals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Comparably scores Cytokinetics leadership a 'D,' placing it in the bottom 20% of similarly sized companies, and Glassdoor reviewers describe a top-heavy 'in-group' of roughly 20 people with 20+ years of tenure together, with two executives making effectively all decisions and no succession beyond that inner circle [3]. Some reviewers do cite 'great science and culture' and leadership that 'cares about employees and cause,' but the preponderance of governance-concentration evidence points to limited psychological safety and diffuse empowerment below the top tier.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Cytokinetics positions aficamten as a differentiated option within the same cardiac myosin inhibitor mechanism pioneered by BMS's Camzyos, framing the relationship as category-expanding rather than purely destructive — management explicitly frames Camzyos' ODYSSEY-HCM setback in non-obstructive HCM as a market-expansion opportunity for aficamten rather than a rival to be eliminated [6]. This reflects competing to learn and differentiate (shorter half-life, reduced REMS burden) within a duopoly both companies are growing together.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redirected focus after prior program setbacks (including omecamtiv mecarbil's mixed heart-failure results) toward aficamten and successfully pivoted from a pure R&amp;D entity to a commercial one following FDA approval, now pursuing label expansion into non-obstructive HCM via ACACIA-HCM [1][6]. The pivot appears driven substantially by cash-runway necessity and prior clinical setbacks rather than a proactive, well-resourced strategic reinvention, which limits the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Sustaining ~$400M+ in annual R&amp;D spend against under $100M of revenue for years, across a quarter-century with no approved product, reflects genuine long-horizon conviction in the muscle-biology thesis [2]. That courage is offset by the securities fraud allegations that the company was not transparent with investors about REMS-related regulatory risk ahead of its original expected approval date, suggesting messaging discipline prioritized short-term stock support over full candor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Cytokinetics crossed a pivotal threshold in December 2025 when aficamten (MYQORZO) received its first FDA approval, followed by European Commission approval in February 2026, converting a 25-year development-stage biotech into a commercial-stage company with a legitimate shot at a duopoly position alongside Bristol Myers Squibb's Camzyos in obstructive HCM [1][6]. Q1 2026 launch metrics were encouraging — $4.8M in net product revenue from roughly nine weeks of sales, 680 patients prescribed by 275 healthcare providers — and management's stated ambition of eventually capturing more than 50% U.S. share of the myosin-inhibitor category is not implausible given aficamten's differentiated dosing and monitoring profile [1][6]. The pending MAPLE-HCM sNDA (PDUFA November 14, 2026) for non-obstructive HCM, on the back of ACACIA-HCM's positive dual-endpoint Phase 3 readout, represents a real near-term catalyst that could meaningfully expand the addressable market beyond obstructive HCM alone [1][6].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balance sheet, however, tells a starkly different story than the pipeline narrative. Stockholders' equity is negative (-$826.6M) against $1.29B of total debt, TTM net loss stands at $829.6M against just $105.8M of TTM revenue (a roughly -784% profit margin), and $1.1B of cash provides runway against 2026 GAAP operating expense guidance of $830M-$870M — meaning the company is still burning cash faster than MYQORZO can plausibly replace it in the near term [1][2]. Governance signals compound the financial risk: a securities fraud class action alleges the company misled investors on NDA timing, Comparably grades leadership in the bottom 20% of peers, and insiders — including the CEO in three separate transactions between May and July 2026 — have been net sellers, not buyers, even as the stock has more than doubled over the trailing year [3][4][5]. This is a name with genuine scientific and commercial promise but unresolved financing, governance, and execution risk that argues for a WATCH rather than a conviction BUY at current levels.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FDA decision on the MAPLE-HCM supplemental NDA for non-obstructive HCM, PDUFA date November 14, 2026, following ACACIA-HCM's positive dual primary endpoint readout — a major addressable-market expansion if approved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MYQORZO/aficamten U.S. and EU commercial ramp; sustained quarter-over-quarter growth in prescriber count and patient volume beyond the initial 680-patient, 275-HCP base from Q1 2026 would validate the &gt;50% category share thesis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Any capital markets transaction (equity raise, debt refinancing, or partnership) that meaningfully improves the negative stockholders' equity position and extends runway beyond the current 2026 GAAP opex guidance of $830M-$870M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Negative stockholders' equity (-$826.6M) and a TTM net loss of $829.6M against 2026 opex guidance of $830M-$870M create real financing risk; further dilutive capital raises are likely absent a sharp acceleration in MYQORZO revenue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Ongoing securities fraud litigation alleging misleading disclosures about the aficamten NDA timeline creates legal overhang, reputational risk, and raises governance-candor questions flagged separately in the bottom-quintile Comparably leadership grade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Camzyos (mavacamten) has a three-plus-year commercial head start and BMS's much larger salesforce and balance sheet; aficamten must overcome incumbency and physician switching inertia to reach management's targeted &gt;50% category share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Biopharma commercialization is structurally insulated from AI disruption — FDA approval pathways, patent exclusivity, and physician prescribing relationships are moats that generative AI cannot bypass, and AI is broadly viewed by the industry as a drug-discovery accelerant rather than a revenue threat. However, Cytokinetics-specific evidence cuts against full protection: employee reviews describe the company as actively 'shunning AI' with outdated, manual IT systems, meaning the company is not positioned to capture the R&amp;D-efficiency and trial-design gains that AI-forward biopharma peers are increasingly realizing [3]. This creates a moderate competitive-efficiency risk relative to peers even though the core commercial model is not directly threatened. AI Opportunity (0/1): No evidence of measurable AI-driven revenue, discovery efficiency, or trial-design gains was identified for Cytokinetics; available evidence points the opposite direction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Cytokinetics Reports First Quarter 2026 Financial Results and Provides Business Update — Cytokinetics IR / BioSpace,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Cytokinetics (CYTK) Statistics, Financials, and Balance Sheet — stockanalysis.com,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Cytokinetics Employee Reviews and Leadership Ratings — Glassdoor and Comparably,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Cytokinetics Insider Trading Form 4 Filings — StockTitan / SEC EDGAR, May-July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Cytokinetics Securities Fraud Class Action Litigation — Bragar Eagel &amp; Squire, Faruqi &amp; Faruqi,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Myqorzo (aficamten) FDA Approval and Competitive Landscape vs. BMS Camzyos — Xtalks, Yahoo Finance, December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Cytokinetics Corporate Website — Mission Statement, Vision 2030, Company Overview,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8. </w:t>
      </w:r>
      <w:r>
        <w:rPr>
          <w:rFonts w:ascii="Calibri" w:hAnsi="Calibri"/>
          <w:b w:val="0"/>
          <w:color w:val="3A4A28"/>
          <w:sz w:val="17"/>
        </w:rPr>
        <w:t>Cytokinetics Number of Employees — stockanalysis.com / Macrotrends, FY2025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