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DDL</w:t>
      </w:r>
      <w:r>
        <w:rPr>
          <w:rFonts w:ascii="Calibri" w:hAnsi="Calibri"/>
          <w:b/>
          <w:color w:val="1A2010"/>
          <w:sz w:val="40"/>
        </w:rPr>
        <w:t xml:space="preserve">  Dingdong (Cayman) Limited</w:t>
      </w:r>
    </w:p>
    <w:p>
      <w:pPr>
        <w:spacing w:after="120"/>
      </w:pPr>
      <w:r>
        <w:rPr>
          <w:rFonts w:ascii="Calibri" w:hAnsi="Calibri"/>
          <w:b/>
          <w:color w:val="6E8450"/>
          <w:sz w:val="18"/>
        </w:rPr>
        <w:t>GROWTH SLEEVE · 2026-07-14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Grocery Stores · NYSE · China</w:t>
      </w:r>
    </w:p>
    <w:p>
      <w:pPr>
        <w:spacing w:after="80"/>
      </w:pPr>
      <w:r>
        <w:rPr>
          <w:rFonts w:ascii="Calibri" w:hAnsi="Calibri"/>
          <w:b w:val="0"/>
          <w:color w:val="3A4A28"/>
          <w:sz w:val="20"/>
        </w:rPr>
        <w:t>Dingdong (Cayman) Limited operates a leading fresh grocery e-commerce platform in China, providing on-demand delivery of fresh produce, meat, seafood, prepared foods, and daily necessities through its mobile app. The company operates a network of neighborhood fulfillment stations enabling typically 30-minute delivery across major Chinese cities. Founded in 2017 and headquartered in Shanghai, Dingdong has expanded into private-label products and prepared meals while serving millions of consumers. Market cap approximately $484M.</w:t>
      </w:r>
    </w:p>
    <w:p>
      <w:r>
        <w:rPr>
          <w:rFonts w:ascii="Calibri" w:hAnsi="Calibri"/>
          <w:b/>
          <w:color w:val="6E8450"/>
          <w:sz w:val="18"/>
        </w:rPr>
        <w:t>3,658 Employees · https://www.100.me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Dingdong has incrementally evolved from a pure grocery delivery platform to include a growing private-label and prepared foods business, but no transformative product launch or business model pivot in the last five years [1]. AI Deployment (1/2): The company leverages AI for demand forecasting and supply chain optimization across its fulfillment station network to reduce inventory waste, but has not reported specific AI-driven revenue gains or quantified cost savings [1]. Market Share (1/2): Dingdong is a meaningful player in China's competitive fresh grocery e-commerce space but faces intense competition from Meituan, JD.com, and Alibaba's Freshippo with no evidence of gaining meaningful share [2]. Product Pipeline (0/2): No next-generation product announcements with specific timelines were identified beyond continued private-label expansion. R&amp;D Intensity (0/1): R&amp;D spending data is not readily available, and the company has not demonstrated above-peer investment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Dingdong's stated purpose of making fresh, high-quality food accessible and convenient to Chinese consumers is clear and identifies its audience, but is not distinctive from numerous competitors pursuing the same goal in China's crowded grocery e-commerce market [1]. Community Impact (0/2): No evidence of significant charitable programs, community investment, or foundation activity was identified. Employee Retention (0/2): The company reduced headcount from over 10,000 to 3,658 employees through aggressive cost-cutting measures, indicating significant workforce disruption rather than mission-driven retention [2].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272,082 shares multiplied by the stock price of $2.24 equals $609,464, which falls below the $1,000,000 minimum liquidity threshold required for IOWN portfolio consideration [2]. While the underlying metrics are improving with ROE of 22.06%, forward P/E of 6.65, and recently positive net income of $53.48M TTM, the stock is too illiquid for institutional-scale trading, warranting an automatic Infrastructure score of zero regardless of financial fundamentals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Dingdong operates with a survival-oriented, finite mindset characteristic of Chinese e-commerce companies locked in intense competitive price wars. The company achieved profitability through aggressive cost-cutting including reducing headcount by over 60% rather than investing in a distinctive long-term vision. Sinek would note the absence of a Just Cause beyond market survival and the lack of evidence that leadership is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Dingdong's purpose of delivering fresh food quickly is a commercial proposition, not a Just Cause in the Sinek sense. While there is genuine value in making quality groceries accessible, the company's competitive strategy is indistinguishable from rivals and there is no articulated vision of a future state that transcends the current business model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reduction from over 10,000 employees to 3,658 through aggressive cost-cutting represents a massive erosion of organizational trust [2]. Layoffs of this magnitude create a fear-based environment where remaining employees prioritize self-preservation over mission advancement. No evidence of empowerment, long tenure, or cultural practices supporting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Dingdong operates in China's hypercompetitive e-commerce landscape where the language centers on market share, pricing, and survival rather than learning from rivals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Dingdong has shown some flexibility by shifting focus from pure rapid delivery to private-label products and prepared meals, building higher-margin revenue streams. The pivot from growth-at-all-costs to profitability represents meaningful strategic adaptation, though driven more by financial necessity than a guiding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in service of a higher purpose. The shift to profitability through cost-cutting, while operationally necessary, represents conventional management rather than courageous leadership. No examples of sacrificing near-term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Dingdong has achieved a meaningful turnaround, posting $53.48M TTM net income after years of losses, driven by aggressive cost optimization that reduced the workforce by over 60% and improved operating margins [1][2]. Revenue grew 5.15% YoY to $3.55B with ROE of 22.06%, and the stock trades at an attractive forward P/E of 6.65x, suggesting the market has not fully priced in the profitability inflection [2][3]. The expansion into private-label and prepared foods creates higher-margin revenue streams that could sustain margin improvement going forward.</w:t>
      </w:r>
    </w:p>
    <w:p>
      <w:pPr>
        <w:spacing w:after="120"/>
      </w:pPr>
      <w:r>
        <w:rPr>
          <w:rFonts w:ascii="Calibri" w:hAnsi="Calibri"/>
          <w:b w:val="0"/>
          <w:color w:val="3A4A28"/>
          <w:sz w:val="20"/>
        </w:rPr>
        <w:t>However, the fundamental challenge is severe illiquidity: with average daily volume of just 272,082 shares at $2.24 per share, daily dollar volume of approximately $609,000 makes the stock untradeable for institutional investors and creates significant price impact risk [2]. The $484M market cap Chinese ADR carries substantial regulatory risk from both US delisting threats under HFCAA enforcement and Chinese government intervention in the tech sector. Competition from Meituan, JD.com, and Alibaba's Freshippo with vastly greater resources and AI capabilities creates sustained pressure on margins and market share. The 207% debt-to-equity ratio and razor-thin 2.05% profit margin leave minimal buffer against competitive or macroeconomic shocks.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margin expansion from private-label products and prepared meals, potentially pushing profit margins above 3-4% and establishing sustained profitability</w:t>
      </w:r>
    </w:p>
    <w:p>
      <w:pPr>
        <w:spacing w:before="40" w:after="40"/>
        <w:ind w:left="283"/>
      </w:pPr>
      <w:r>
        <w:rPr>
          <w:rFonts w:ascii="Calibri" w:hAnsi="Calibri"/>
          <w:b/>
          <w:color w:val="4A6B25"/>
          <w:sz w:val="20"/>
        </w:rPr>
        <w:t xml:space="preserve">2. </w:t>
      </w:r>
      <w:r>
        <w:rPr>
          <w:rFonts w:ascii="Calibri" w:hAnsi="Calibri"/>
          <w:b w:val="0"/>
          <w:color w:val="3A4A28"/>
          <w:sz w:val="20"/>
        </w:rPr>
        <w:t>Resolution of Chinese ADR regulatory uncertainty under HFCAA that could unlock valuation re-rating toward the 6.65x forward P/E implied fair value</w:t>
      </w:r>
    </w:p>
    <w:p>
      <w:pPr>
        <w:spacing w:before="40" w:after="40"/>
        <w:ind w:left="283"/>
      </w:pPr>
      <w:r>
        <w:rPr>
          <w:rFonts w:ascii="Calibri" w:hAnsi="Calibri"/>
          <w:b/>
          <w:color w:val="4A6B25"/>
          <w:sz w:val="20"/>
        </w:rPr>
        <w:t xml:space="preserve">3. </w:t>
      </w:r>
      <w:r>
        <w:rPr>
          <w:rFonts w:ascii="Calibri" w:hAnsi="Calibri"/>
          <w:b w:val="0"/>
          <w:color w:val="3A4A28"/>
          <w:sz w:val="20"/>
        </w:rPr>
        <w:t>Potential increase in trading volume through index inclusion or institutional attention as the company proves sustainable profitability over multiple quarters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Average daily dollar volume of approximately $609,000 makes the stock effectively uninvestable for institutional portfolios and triggers the IOWN liquidity floor, resulting in Infrastructure score of zero</w:t>
      </w:r>
    </w:p>
    <w:p>
      <w:pPr>
        <w:spacing w:before="40" w:after="40"/>
        <w:ind w:left="283"/>
      </w:pPr>
      <w:r>
        <w:rPr>
          <w:rFonts w:ascii="Calibri" w:hAnsi="Calibri"/>
          <w:b/>
          <w:color w:val="4A6B25"/>
          <w:sz w:val="20"/>
        </w:rPr>
        <w:t xml:space="preserve">2. </w:t>
      </w:r>
      <w:r>
        <w:rPr>
          <w:rFonts w:ascii="Calibri" w:hAnsi="Calibri"/>
          <w:b w:val="0"/>
          <w:color w:val="3A4A28"/>
          <w:sz w:val="20"/>
        </w:rPr>
        <w:t>Chinese ADR regulatory risk from both US HFCAA enforcement and Chinese government intervention could result in forced delisting or significant business model constraints</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from Meituan, JD.com, and Alibaba Freshippo with 10-100x greater financial and technological resources threatens Dingdong's ability to sustain margin improvement and market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Dingdong's core business of physically delivering fresh groceries involves last-mile logistics, cold chain management, and perishable inventory handling that AI cannot substitute [1]. The fulfillment station network and delivery workforce create physical-world barriers to AI disruption. However, the e-commerce platform layer faces competitive pressure from larger tech platforms (Meituan, JD) with significantly greater AI capabilities for personalization, pricing optimization, and demand prediction, and AI-powered autonomous delivery could eventually threaten the delivery cost structure. AI Opportunity (0/1): While Dingdong uses AI internally for demand forecasting and supply chain optimization, there is no evidence of quantifiable AI-related revenue generation or customer-facing AI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Dingdong (Cayman) Limited FY2025 Financial Results and Annual Report,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DDL Key Statistics, Valuation,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GuruFocus — DDL Forward PE Ratio and Valuation Metrics,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DDL Quote and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