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DEI</w:t>
      </w:r>
      <w:r>
        <w:rPr>
          <w:rFonts w:ascii="Calibri" w:hAnsi="Calibri"/>
          <w:b/>
          <w:color w:val="1A2010"/>
          <w:sz w:val="40"/>
        </w:rPr>
        <w:t xml:space="preserve">  Douglas Emmett, Inc.</w:t>
      </w:r>
    </w:p>
    <w:p>
      <w:pPr>
        <w:spacing w:after="120"/>
      </w:pPr>
      <w:r>
        <w:rPr>
          <w:rFonts w:ascii="Calibri" w:hAnsi="Calibri"/>
          <w:b/>
          <w:color w:val="6E8450"/>
          <w:sz w:val="18"/>
        </w:rPr>
        <w:t>DIVIDEND SLEEVE · 2026-07-11 · Inspire: 12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Douglas Emmett, Inc. is a fully integrated, self-administered real estate investment trust (REIT) that owns, operates, and develops office and multifamily properties in the premier coastal submarkets of Los Angeles County, California, and Honolulu, Hawaii. The company's portfolio includes approximately 18 million square feet of Class A office space and over 4,000 multifamily units concentrated in supply-constrained West Los Angeles and Hawaii markets. Founded by Dan Emmett in 1971 and led by CEO Jordan Kaplan since 2005.</w:t>
      </w:r>
    </w:p>
    <w:p>
      <w:r>
        <w:rPr>
          <w:rFonts w:ascii="Calibri" w:hAnsi="Calibri"/>
          <w:b/>
          <w:color w:val="6E8450"/>
          <w:sz w:val="18"/>
        </w:rPr>
        <w:t>778 Employees · https://www.douglasemmett.com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Douglas Emmett has undertaken selective property renovations and repositioning in its West LA and Honolulu submarkets over the past five years but has launched no transformative products, services, or business model pivots — the company operates the same office/multifamily model it has run for decades [1][3]. AI Deployment (0/2): No evidence of AI-powered products or measurable AI-driven cost savings in property management, leasing, or tenant services [3]. Market Share (1/2): DEI holds a meaningful concentration of Class A office space in premier West LA submarkets including Beverly Hills, Brentwood, Century City, Santa Monica, and Westwood, giving it local density advantages, though its overall share of the U.S. office REIT market is modest [1][5]. Product Pipeline (0/2): No next-generation properties or development projects announced with specific timelines; the company is focused on managing existing assets amid 77.7% office occupancy rather than expanding [1][2]. R&amp;D Intensity (0/1): REITs do not invest in R&amp;D, and DEI has no technology or innovation budget.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Douglas Emmett's stated purpose centers on owning and operating high-quality office and multifamily properties in premier West Coast markets — a functional description of its business that is interchangeable with any coastal office REIT and does not articulate a deeper purpose beyond real estate operations [3]. Community Impact (0/2): No evidence of distinctive charitable programs, foundation activity, or community investment beyond standard corporate citizenship was identified [3]. Employee Retention (1/2): CEO Jordan Kaplan's 21-year tenure since 2005 demonstrates exceptional leadership continuity, and the company's lean 778-employee workforce suggests operational stability, though no specific turnover or retention data is publicly available [3][5]. Insider Buying (0/2): No meaningful net insider buying by CEO or senior executives was identified in the last 12 months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$250.96M was slightly below the $253.81M consensus estimate, and the company swung from $39.8M net income to a $2.5M net loss year-over-year [1][2]. Non-GAAP EPS of $0.37 beat the -$0.05 estimate, but GAAP profitability has turned negative with -2.59% profit margin and -1.94% ROE [1][3]. D/E of 162.6% reflects the capital-intensive REIT model with elevated leverage from term loans and bonds repricing at higher benchmark rates [4]. Forward P/E of -100.8 indicates expected losses and is excluded from scoring. Dividend metrics provide the main strength: the company has paid dividends continuously for approximately 20 years since its 2006 IPO, with the current $0.76 annual dividend representing an FFO payout ratio of approximately 53% against the $1.39-$1.45 FFO per share guidance [1][2]. Full-year 2026 FFO guidance of $1.39-$1.45 per diluted share provides some coverage, though the $0.76 dividend remains well below the pre-COVID $1.12 annual rate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Douglas Emmett operates with a finite game mindset, optimizing an existing portfolio in a structurally challenged sector without articulating a durable vision for how it will thrive as office demand evolves. The 21-year CEO tenure provides stability but the company has not demonstrated existential flexibility or the courage to fundamentally reimagine its business model in response to the post-pandemic office market shift.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DEI's implicit purpose is to own and operate premium office and multifamily properties in West LA and Honolulu — a geographically specific real estate strategy rather than a Just Cause in Sinek's framework [3]. The purpose does not articulate a vision of a better future that inspires sacrifice; it describes a business model. While the focus on premium locations reflects strategic conviction, it is not resilient to secular changes in how people work and has not been reframed to address the post-pandemic reality [1][4].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Jordan Kaplan's 21-year tenure as CEO provides exceptional leadership continuity, and the lean 778-person workforce suggests a stable, tight-knit organization [3][5]. However, no specific evidence of employee empowerment programs, low voluntary turnover metrics, or cultural practices fostering psychological safety was identified. The small headcount and long-tenured leadership suggest adequate but unremarkable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DEI's leadership acknowledges competitors' strengths or uses rivals like Boston Properties, Vornado, or Kilroy Realty as motivation for self-improvement [3]. Competitive language in earnings calls focuses on the company's submarkets and occupancy metrics rather than learning from peers who may be adapting more aggressively to hybrid work trends [1].</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Douglas Emmett has not demonstrated meaningful strategic flexibility in response to the most significant structural shift in its industry's history [1][4]. While office REITs like Cousins Properties and Kilroy Realty have pivoted toward life science, mixed-use, or Sunbelt markets, DEI continues to concentrate in West LA office — the same strategy it has pursued for decades. The multifamily portfolio provides some diversification but represents an existing asset class, not a strategic pivot [1][2].</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DEI has maintained its dividend through a period of negative GAAP earnings, signaling commitment to shareholders even when profitability is under pressure [1][2]. The company continues to invest in its West LA portfolio despite significant office market headwinds. However, maintaining the status quo in a declining market is more accurately described as inertia than courage — no evidence of bold strategic bets, countercyclical investments, or decisions that sacrifice near-term performance for long-term capability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Douglas Emmett's 6.33% dividend yield is the primary attraction, but the yield is a function of a depressed share price ($12.01) rather than dividend growth strength — the current $0.76 annual payout remains 32% below the pre-COVID $1.12 rate [1][2]. Q1 2026 revenue of $250.96M was essentially flat (-0.2% YoY) while the company swung to a net loss of $2.5M, with full-year FFO guidance of $1.39-$1.45 per share providing modest but narrowing coverage of the dividend [1][2]. Office occupancy of 77.7% in West LA, where direct vacancy rates sit at 16.0%, reflects the persistent structural challenge of hybrid work adoption accelerated by AI productivity tools [1][4].</w:t>
      </w:r>
    </w:p>
    <w:p>
      <w:pPr>
        <w:spacing w:after="120"/>
      </w:pPr>
      <w:r>
        <w:rPr>
          <w:rFonts w:ascii="Calibri" w:hAnsi="Calibri"/>
          <w:b w:val="0"/>
          <w:color w:val="3A4A28"/>
          <w:sz w:val="20"/>
        </w:rPr>
        <w:t>The bull case rests on DEI's irreplaceable portfolio in supply-constrained West LA submarkets and the 98% multifamily occupancy that provides ballast, but these strengths are insufficient to offset the secular decline in office demand [1][5]. Full-year 2026 revenue is projected at $1.021B, representing an 18.4% decline, with negative GAAP profitability expected to persist [2]. D/E of 162.6% creates interest rate sensitivity as term loans and bonds reprice at elevated benchmark rates, further pressuring FFO and dividend sustainability [4]. Without a strategic pivot toward mixed-use, life science, or higher-growth property types, DEI remains a yield trap in a structurally impaired sector.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West LA office leasing recovery driven by return-to-office mandates from major entertainment, law, and technology tenants could lift occupancy above 80%</w:t>
      </w:r>
    </w:p>
    <w:p>
      <w:pPr>
        <w:spacing w:before="40" w:after="40"/>
        <w:ind w:left="283"/>
      </w:pPr>
      <w:r>
        <w:rPr>
          <w:rFonts w:ascii="Calibri" w:hAnsi="Calibri"/>
          <w:b/>
          <w:color w:val="4A6B25"/>
          <w:sz w:val="20"/>
        </w:rPr>
        <w:t xml:space="preserve">2. </w:t>
      </w:r>
      <w:r>
        <w:rPr>
          <w:rFonts w:ascii="Calibri" w:hAnsi="Calibri"/>
          <w:b w:val="0"/>
          <w:color w:val="3A4A28"/>
          <w:sz w:val="20"/>
        </w:rPr>
        <w:t>Potential interest rate cuts in late 2026 or 2027 would reduce debt servicing costs on floating-rate exposure and improve FFO coverage of the dividend</w:t>
      </w:r>
    </w:p>
    <w:p>
      <w:pPr>
        <w:spacing w:before="40" w:after="40"/>
        <w:ind w:left="283"/>
      </w:pPr>
      <w:r>
        <w:rPr>
          <w:rFonts w:ascii="Calibri" w:hAnsi="Calibri"/>
          <w:b/>
          <w:color w:val="4A6B25"/>
          <w:sz w:val="20"/>
        </w:rPr>
        <w:t xml:space="preserve">3. </w:t>
      </w:r>
      <w:r>
        <w:rPr>
          <w:rFonts w:ascii="Calibri" w:hAnsi="Calibri"/>
          <w:b w:val="0"/>
          <w:color w:val="3A4A28"/>
          <w:sz w:val="20"/>
        </w:rPr>
        <w:t>Multifamily portfolio expansion or conversion of underperforming office assets to residential could unlock value in supply-constrained LA submarkets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AI-driven adoption of remote and hybrid work could permanently impair West LA office demand, pushing vacancy rates higher and pressuring lease renewal rates</w:t>
      </w:r>
    </w:p>
    <w:p>
      <w:pPr>
        <w:spacing w:before="40" w:after="40"/>
        <w:ind w:left="283"/>
      </w:pPr>
      <w:r>
        <w:rPr>
          <w:rFonts w:ascii="Calibri" w:hAnsi="Calibri"/>
          <w:b/>
          <w:color w:val="4A6B25"/>
          <w:sz w:val="20"/>
        </w:rPr>
        <w:t xml:space="preserve">2. </w:t>
      </w:r>
      <w:r>
        <w:rPr>
          <w:rFonts w:ascii="Calibri" w:hAnsi="Calibri"/>
          <w:b w:val="0"/>
          <w:color w:val="3A4A28"/>
          <w:sz w:val="20"/>
        </w:rPr>
        <w:t>Negative GAAP earnings and declining FFO create risk of a second dividend cut if occupancy or leasing spreads deteriorate further from the current 77.7% level</w:t>
      </w:r>
    </w:p>
    <w:p>
      <w:pPr>
        <w:spacing w:before="40" w:after="40"/>
        <w:ind w:left="283"/>
      </w:pPr>
      <w:r>
        <w:rPr>
          <w:rFonts w:ascii="Calibri" w:hAnsi="Calibri"/>
          <w:b/>
          <w:color w:val="4A6B25"/>
          <w:sz w:val="20"/>
        </w:rPr>
        <w:t xml:space="preserve">3. </w:t>
      </w:r>
      <w:r>
        <w:rPr>
          <w:rFonts w:ascii="Calibri" w:hAnsi="Calibri"/>
          <w:b w:val="0"/>
          <w:color w:val="3A4A28"/>
          <w:sz w:val="20"/>
        </w:rPr>
        <w:t>D/E of 162.6% and a laddered debt maturity schedule leave the company exposed to refinancing risk if interest rates remain elevated through 2027-2028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Douglas Emmett's core business of owning and operating physical real estate assets is inherently protected from direct AI substitution — AI cannot replace office buildings, apartment complexes, or the locational advantages of premium West LA and Honolulu submarkets [3][5]. However, AI tools are a significant indirect threat: AI-powered productivity software, virtual collaboration platforms, and agentic AI assistants are making remote and hybrid work increasingly effective, directly reducing demand for the physical office space that constitutes the majority of DEI's portfolio [4]. Office occupancy at 77.7% reflects this structural headwind, with the Los Angeles direct vacancy rate at 16.0%, well above the national average [1][4]. The multifamily portfolio (98.0% occupied) provides a partial hedge since housing demand is AI-immune, but office represents the dominant revenue stream [1]. AI Opportunity (0/1): No evidence of AI-powered building management, predictive maintenance, or AI-driven operational efficiencies being deployed or generating measurable cost savings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12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Douglas Emmett Q1 2026 Earnings Release — Quarterly Results and Supplemental Data, May 2026</w:t>
      </w:r>
    </w:p>
    <w:p>
      <w:pPr>
        <w:spacing w:before="20" w:after="20"/>
        <w:ind w:left="170"/>
      </w:pPr>
      <w:r>
        <w:rPr>
          <w:rFonts w:ascii="Calibri" w:hAnsi="Calibri"/>
          <w:b/>
          <w:color w:val="4A6B25"/>
          <w:sz w:val="15"/>
        </w:rPr>
        <w:t xml:space="preserve">2. </w:t>
      </w:r>
      <w:r>
        <w:rPr>
          <w:rFonts w:ascii="Calibri" w:hAnsi="Calibri"/>
          <w:b w:val="0"/>
          <w:color w:val="3A4A28"/>
          <w:sz w:val="17"/>
        </w:rPr>
        <w:t>Douglas Emmett Q1 2026 10-Q Filing and FY2026 FFO Guidance — SEC, May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DEI Company Profile, Key Statistics, and Financial Data,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Seeking Alpha — 'Douglas Emmett: Pass On This 6% Yield,' Analyst Coverage, June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Douglas Emmett Q1 2026 Revenue and Management Analysis, May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