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DEO</w:t>
      </w:r>
      <w:r>
        <w:rPr>
          <w:rFonts w:ascii="Calibri" w:hAnsi="Calibri"/>
          <w:b/>
          <w:color w:val="1A2010"/>
          <w:sz w:val="40"/>
        </w:rPr>
        <w:t xml:space="preserve">  Diageo plc</w:t>
      </w:r>
    </w:p>
    <w:p>
      <w:pPr>
        <w:spacing w:after="120"/>
      </w:pPr>
      <w:r>
        <w:rPr>
          <w:rFonts w:ascii="Calibri" w:hAnsi="Calibri"/>
          <w:b/>
          <w:color w:val="6E8450"/>
          <w:sz w:val="18"/>
        </w:rPr>
        <w:t>DIVIDEND SLEEVE · 2026-07-18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Wineries &amp; Distilleries · NYSE · United Kingdom</w:t>
      </w:r>
    </w:p>
    <w:p>
      <w:pPr>
        <w:spacing w:after="80"/>
      </w:pPr>
      <w:r>
        <w:rPr>
          <w:rFonts w:ascii="Calibri" w:hAnsi="Calibri"/>
          <w:b w:val="0"/>
          <w:color w:val="3A4A28"/>
          <w:sz w:val="20"/>
        </w:rPr>
        <w:t>Diageo plc is the world's largest premium spirits company, producing and distributing a portfolio of more than 200 brands across Scotch whisky, vodka, gin, tequila, rum, and beer, including Johnnie Walker, Smirnoff, Baileys, Captain Morgan, Ketel One, Don Julio, Casamigos, and Guinness. Formed in 1997 through the merger of Guinness and Grand Metropolitan, the London-headquartered company sells in more than 180 countries and holds the global #1 share position in Scotch whisky, tequila, and vodka.</w:t>
      </w:r>
    </w:p>
    <w:p>
      <w:r>
        <w:rPr>
          <w:rFonts w:ascii="Calibri" w:hAnsi="Calibri"/>
          <w:b/>
          <w:color w:val="6E8450"/>
          <w:sz w:val="18"/>
        </w:rPr>
        <w:t>29,860 Employees · https://www.diageo.com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Diageo has driven a genuine premiumization and moderation pivot over the last five years — Guinness 0.0 became Great Britain's #1 non-alcoholic beer and has expanded into the NoLo (no/low alcohol) category projected above $20B globally, while the portfolio continues to shift toward premium/super-premium tequila (Don Julio, Casamigos) and Scotch [9][10]. However, the core business is simultaneously contracting — reported net sales fell 4.0% and organic net sales fell 2.8% in H1 FY26 on US spirits softness and Chinese white spirits destocking, showing the pivot has not yet offset structural volume pressure [1]. AI Deployment (1/2): Diageo scaled generative AI and advanced analytics in 2025 for demand forecasting and route-to-market decisions, and built "Smartbidder," a real-time AI media-bidding tool, plus a Virtual Content Studio for AI-generated brand assets, but no quantified revenue or cost-savings figure tied specifically to these tools has been disclosed [8]. Market Share (2/2): Diageo is the global #1 in Scotch whisky (roughly 40% of global Scotch share), tequila, and vodka, with leadership positions built over decades of brand investment and a 200+ brand, 180+ country distribution footprint [9]. Product Pipeline (1/2): Beyond continued NoLo line extensions, the new CEO's Accelerate cost-savings programme ($300M target) and portfolio simplification are the primary near-term initiatives disclosed; no major named next-generation product launch with a specific date was identified [1][2]. R&amp;D Intensity (0/1): Diageo does not disclose a formal R&amp;D-to-revenue ratio comparable to peers, and spirits-industry R&amp;D intensity is structurally low across the category — no evidence surfaced of above-peer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Diageo's stated purpose — to "celebrate life, every day, everywhere" — is clear but generic rather than distinctive, and recent execution (a dividend cut ending a 20+ year progressive-dividend streak, a messy CEO succession, and a management overhaul) undercuts confidence that the purpose is currently driving disciplined strategy rather than reactive crisis management [3][4][5]. Community Impact (1/2): The "Spirit of Progress" ESG plan and an MSCI AAA rating reflect real institutional commitment to responsible drinking, water stewardship, and diversity targets (50% women in leadership by 2030), though these programs predate and are separate from the current turnaround [7]. Employee Retention (0/2): Diageo has seen a wave of senior departures — the North America CMO, Africa president, and CHRO are all exiting as part of new CEO Dave Lewis's overhaul, workforce fell 1.67% year-over-year in FY2025, and further job cuts and management delayering were announced in April 2026, while Glassdoor reviewers describe senior leadership as "out of touch with the changing landscape" [4][5]. Insider Buying (0/2): No open-market insider share purchases were identified in the last 12 months; Sir Dave Lewis's March 2026 award was standard LTIP equity compensation tied to his board appointment, not a discretionary buy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dividend-sleeve weighting (12 weight units: 6 core + payout ratio, 2x consecutive years paid, consecutive years growth, 2x dividend 5yr CAGR). Core metrics are mixed-to-solid: ROE of 19.72% and forward P/E of 13.3x both clear their targets outright, D/E of 177% sits mid-range between the 70% target and 300% floor, and organic revenue decline of 2.8% and a 3.5% trailing 5-year revenue CAGR land in the middle of their ranges [6]. Profit margin has compressed sharply — from ~21-22% in FY2021-FY2023 to 12.2% TTM — as tariff costs, adverse mix, and volume softness eroded profitability even as the top line held roughly flat [6]. The dividend metrics are the biggest drag: trailing payout ratio of 299% is far above the 100% floor (scoring zero), and the interim dividend was cut from 40.50 cents to 20 cents per share in FY26, ending a 20+ year unbroken streak of dividend increases and resetting consecutive-years-growth to zero, though the ~28-year unbroken record of dividend payments since Diageo's 1997 formation still scores full marks on that metric [1][3]. Average daily dollar volume (~1.0M shares × $84) is roughly $85M, far above the $1M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Diageo currently reads as a company playing a finite game under duress rather than a deliberately infinite-minded one. The stated purpose is generic rather than resilient and idealistic, senior leadership has been in near-constant churn (a messy CEO succession followed by a wave of executive departures and job cuts), and the abrupt dividend cut — while arguably a courageous balance-sheet repair move — was a reactive response to a multi-year earnings slide rather than a proactive long-game bet made from strength.</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Diageo's purpose of helping consumers "celebrate life, every day, everywhere" is a pleasant but largely generic beverage-industry mission rather than a resilient, idealistic cause in Sinek's sense [9]. The current strategic narrative is dominated by cost-cutting (a $300M Accelerate savings target), balance-sheet repair, and management delayering rather than a clear articulation of a cause bigger than quarterly results, and the messy CEO transition suggests the organization's direction has been unsettled rather than steadily purpose-led [1][2][4].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North America CMO, Africa president, and CHRO have all departed as part of new CEO Dave Lewis's overhaul, workforce declined 1.67% in FY2025 with further job cuts and a management delayering plan announced in April 2026, and Glassdoor reviewers describe senior leadership as unable to make decisions and "out of touch with the changing landscape" [4][5]. This pattern of executive churn and restructuring is inconsistent with the psychological safety and stability Sinek associates with trusting teams.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public commentary was found describing how Diageo's leadership discusses competitors such as Pernod Ricard, Brown-Forman, or LVMH Moët Hennessy — the available commentary is entirely inward-facing, focused on Diageo's own cost structure, portfolio mix, and balance sheet rather than benchmarking against or learning from rivals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Facing a structural decline in per-capita alcohol consumption among younger consumers, Diageo has redirected investment toward NoLo products (Guinness 0.0 becoming GB's #1 non-alcoholic beer) and premiumization of its tequila and Scotch portfolios [9][10]. This is a real strategic pivot in response to an existential category threat, but it remains a defensive reallocation rather than a transformative reinvention of the business model, and it is still running well behind the pace of consumer-trend change cited by industry commentary [8].</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New CEO Dave Lewis cut the interim dividend from 40.50 cents to 20 cents per share and reset the payout policy to 30-50% of earnings, explicitly prioritizing balance-sheet strength and financial flexibility over the 20+ year record of uninterrupted dividend growth that shareholders had come to expect [3]. This is a genuinely difficult, long-term-oriented decision, but it was executed as a reactive response to a multi-year earnings and leverage problem rather than a proactive bet made from a position of strength.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Diageo is the world's largest premium spirits company, holding the global #1 share position in Scotch whisky, tequila, and vodka across a 200+ brand portfolio, but fiscal 2026 has been a genuine reset year: H1 FY26 reported net sales fell 4.0% (organic -2.8%) on US spirits softness and Chinese white spirits destocking, full-year guidance calls for organic net sales to decline 2-3%, and net profit margin has compressed from roughly 21-22% in FY2021-FY2023 to 12.2% TTM [1][6]. New CEO Sir Dave Lewis — known as "Drastic Dave" for his turnaround record at Tesco — has responded with a $300M Accelerate cost-savings programme, management delayering, and a sharp dividend rebase (interim dividend cut from 40.50 cents to 20 cents, new 30-50% payout policy) explicitly designed to repair the balance sheet and restore financial flexibility [1][2][3][4]. At a forward P/E of 13.3x and a 3.86% dividend yield, the stock is priced for continued distress, and the ~28-year record of uninterrupted dividend payments (even through this cut) reflects durable free-cash-flow generation ($3B FY26 guidance) underpinning the turnaround thesis [1][6].</w:t>
      </w:r>
    </w:p>
    <w:p>
      <w:pPr>
        <w:spacing w:after="120"/>
      </w:pPr>
      <w:r>
        <w:rPr>
          <w:rFonts w:ascii="Calibri" w:hAnsi="Calibri"/>
          <w:b w:val="0"/>
          <w:color w:val="3A4A28"/>
          <w:sz w:val="20"/>
        </w:rPr>
        <w:t>The bear case is well evidenced rather than speculative: trailing payout ratio of 299% shows the prior dividend was structurally unsupportable by current earnings, five-year EPS have contracted at roughly a 10% CAGR, and a wave of senior executive departures (CMO North America, Africa president, CHRO) alongside a messy CEO succession signal organizational instability at exactly the moment disciplined execution is required [4][5][6]. The company's Just Cause and Trusting Teams scores are weak — leadership commentary is dominated by cost-cutting and balance-sheet language rather than a clear, resilient purpose, and Glassdoor reviewers describe senior leadership as out of touch [4][9]. Longer-term, Gen Z moderation trends and softer US consumer spending on premium spirits are structural headwinds that premiumization and NoLo expansion (Guinness 0.0) have only partially offset so far, meaning the turnaround thesis depends on Lewis successfully executing cost cuts and portfolio focus before secular volume pressure erodes the underlying brand franchise [8][9][10]. Given genuine leadership uncertainty, a broken dividend growth streak, and margin compression, WATCH rather than BUY reflects the balance of a strong brand moat against real, unresolved execution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execution of the $300M Accelerate cost-savings programme and management delayering under new CEO Dave Lewis, which could stabilize organic operating margin and restore earnings growth in FY2027</w:t>
      </w:r>
    </w:p>
    <w:p>
      <w:pPr>
        <w:spacing w:before="40" w:after="40"/>
        <w:ind w:left="283"/>
      </w:pPr>
      <w:r>
        <w:rPr>
          <w:rFonts w:ascii="Calibri" w:hAnsi="Calibri"/>
          <w:b/>
          <w:color w:val="4A6B25"/>
          <w:sz w:val="20"/>
        </w:rPr>
        <w:t xml:space="preserve">2. </w:t>
      </w:r>
      <w:r>
        <w:rPr>
          <w:rFonts w:ascii="Calibri" w:hAnsi="Calibri"/>
          <w:b w:val="0"/>
          <w:color w:val="3A4A28"/>
          <w:sz w:val="20"/>
        </w:rPr>
        <w:t>Continued NoLo and premiumization momentum — Guinness 0.0 and premium tequila (Don Julio, Casamigos) growth — offsetting structural volume decline in core Scotch and US spirits categories</w:t>
      </w:r>
    </w:p>
    <w:p>
      <w:pPr>
        <w:spacing w:before="40" w:after="40"/>
        <w:ind w:left="283"/>
      </w:pPr>
      <w:r>
        <w:rPr>
          <w:rFonts w:ascii="Calibri" w:hAnsi="Calibri"/>
          <w:b/>
          <w:color w:val="4A6B25"/>
          <w:sz w:val="20"/>
        </w:rPr>
        <w:t xml:space="preserve">3. </w:t>
      </w:r>
      <w:r>
        <w:rPr>
          <w:rFonts w:ascii="Calibri" w:hAnsi="Calibri"/>
          <w:b w:val="0"/>
          <w:color w:val="3A4A28"/>
          <w:sz w:val="20"/>
        </w:rPr>
        <w:t>Stabilization or recovery of Chinese white spirits demand and US consumer spirits spending, both cited as the primary drivers of the FY26 organic net sales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Trailing payout ratio of 299% and a broken 20+ year dividend growth streak signal the prior capital return framework was unsustainable; further dividend or guidance cuts would confirm deeper structural earnings pressure</w:t>
      </w:r>
    </w:p>
    <w:p>
      <w:pPr>
        <w:spacing w:before="40" w:after="40"/>
        <w:ind w:left="283"/>
      </w:pPr>
      <w:r>
        <w:rPr>
          <w:rFonts w:ascii="Calibri" w:hAnsi="Calibri"/>
          <w:b/>
          <w:color w:val="4A6B25"/>
          <w:sz w:val="20"/>
        </w:rPr>
        <w:t xml:space="preserve">2. </w:t>
      </w:r>
      <w:r>
        <w:rPr>
          <w:rFonts w:ascii="Calibri" w:hAnsi="Calibri"/>
          <w:b w:val="0"/>
          <w:color w:val="3A4A28"/>
          <w:sz w:val="20"/>
        </w:rPr>
        <w:t>Senior executive turnover (CMO North America, Africa president, CHRO all departing) alongside a contested CEO succession creates near-term execution risk during a critical turnaround period</w:t>
      </w:r>
    </w:p>
    <w:p>
      <w:pPr>
        <w:spacing w:before="40" w:after="40"/>
        <w:ind w:left="283"/>
      </w:pPr>
      <w:r>
        <w:rPr>
          <w:rFonts w:ascii="Calibri" w:hAnsi="Calibri"/>
          <w:b/>
          <w:color w:val="4A6B25"/>
          <w:sz w:val="20"/>
        </w:rPr>
        <w:t xml:space="preserve">3. </w:t>
      </w:r>
      <w:r>
        <w:rPr>
          <w:rFonts w:ascii="Calibri" w:hAnsi="Calibri"/>
          <w:b w:val="0"/>
          <w:color w:val="3A4A28"/>
          <w:sz w:val="20"/>
        </w:rPr>
        <w:t>Secular decline in per-capita alcohol consumption among younger consumers, combined with tariff costs and adverse regional mix, could keep organic net sales negative beyond FY2026 guidance of -2% to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Diageo's core value chain — grain-to-glass distillation, multi-year cask maturation, agave/sugarcane sourcing, 100+ physical production sites, global route-to-market logistics, and decades of accumulated brand equity across 200+ labels — is structurally difficult for AI to substitute or disintermediate [9]. Regulatory licensing requirements for alcohol production and distribution add a further physical/legal moat that software-based disruption cannot cross. The genuine exposure is narrower: AI-generated content and automated media buying could compress agency and marketing spend over time, and generic conversational AI recommendation engines could theoretically erode brand-driven purchase decisions at the margin, but no analyst commentary was found flagging AI as a material earnings threat to Diageo specifically [8]. AI Opportunity (0/1): Diageo has deployed "Smartbidder" for real-time ad-bid optimization and generative AI for demand forecasting and route-to-market planning, but no quantified revenue lift or cost savings figure has been disclosed, so this does not clear the bar for a meaningful, quantifiable AI-driven gain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-53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Alcohol </w:t>
      </w:r>
      <w:r>
        <w:rPr>
          <w:rFonts w:ascii="Calibri" w:hAnsi="Calibri"/>
          <w:b w:val="0"/>
          <w:color w:val="9DAF88"/>
          <w:sz w:val="17"/>
        </w:rPr>
        <w:t xml:space="preserve">  ·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Diageo Fiscal 2026 Interim Results, half year ended 31 December 2025 — diageo.com Press Release, January 2026</w:t>
      </w:r>
    </w:p>
    <w:p>
      <w:pPr>
        <w:spacing w:before="20" w:after="20"/>
        <w:ind w:left="170"/>
      </w:pPr>
      <w:r>
        <w:rPr>
          <w:rFonts w:ascii="Calibri" w:hAnsi="Calibri"/>
          <w:b/>
          <w:color w:val="4A6B25"/>
          <w:sz w:val="15"/>
        </w:rPr>
        <w:t xml:space="preserve">2. </w:t>
      </w:r>
      <w:r>
        <w:rPr>
          <w:rFonts w:ascii="Calibri" w:hAnsi="Calibri"/>
          <w:b w:val="0"/>
          <w:color w:val="3A4A28"/>
          <w:sz w:val="17"/>
        </w:rPr>
        <w:t>Diageo Fiscal 26 Q3 Trading Statement — diageo.com Press Release, April 2026</w:t>
      </w:r>
    </w:p>
    <w:p>
      <w:pPr>
        <w:spacing w:before="20" w:after="20"/>
        <w:ind w:left="170"/>
      </w:pPr>
      <w:r>
        <w:rPr>
          <w:rFonts w:ascii="Calibri" w:hAnsi="Calibri"/>
          <w:b/>
          <w:color w:val="4A6B25"/>
          <w:sz w:val="15"/>
        </w:rPr>
        <w:t xml:space="preserve">3. </w:t>
      </w:r>
      <w:r>
        <w:rPr>
          <w:rFonts w:ascii="Calibri" w:hAnsi="Calibri"/>
          <w:b w:val="0"/>
          <w:color w:val="3A4A28"/>
          <w:sz w:val="17"/>
        </w:rPr>
        <w:t>Diageo Dividend Rebase and FY2026 Guidance Cut — SEC Form 6-K / Stocktitan SEC Filing Summary, 2026</w:t>
      </w:r>
    </w:p>
    <w:p>
      <w:pPr>
        <w:spacing w:before="20" w:after="20"/>
        <w:ind w:left="170"/>
      </w:pPr>
      <w:r>
        <w:rPr>
          <w:rFonts w:ascii="Calibri" w:hAnsi="Calibri"/>
          <w:b/>
          <w:color w:val="4A6B25"/>
          <w:sz w:val="15"/>
        </w:rPr>
        <w:t xml:space="preserve">4. </w:t>
      </w:r>
      <w:r>
        <w:rPr>
          <w:rFonts w:ascii="Calibri" w:hAnsi="Calibri"/>
          <w:b w:val="0"/>
          <w:color w:val="3A4A28"/>
          <w:sz w:val="17"/>
        </w:rPr>
        <w:t>Sir Dave Lewis Appointed Diageo plc CEO — diageo.com Press Release, November 2025; Bloomberg, 'Diageo Eyes Job Cuts, New Structure as CEO Targets Growth After Share Slump,' April 2026</w:t>
      </w:r>
    </w:p>
    <w:p>
      <w:pPr>
        <w:spacing w:before="20" w:after="20"/>
        <w:ind w:left="170"/>
      </w:pPr>
      <w:r>
        <w:rPr>
          <w:rFonts w:ascii="Calibri" w:hAnsi="Calibri"/>
          <w:b/>
          <w:color w:val="4A6B25"/>
          <w:sz w:val="15"/>
        </w:rPr>
        <w:t xml:space="preserve">5. </w:t>
      </w:r>
      <w:r>
        <w:rPr>
          <w:rFonts w:ascii="Calibri" w:hAnsi="Calibri"/>
          <w:b w:val="0"/>
          <w:color w:val="3A4A28"/>
          <w:sz w:val="17"/>
        </w:rPr>
        <w:t>Diageo to Part Ways with Several Top Executives as Part of Overhaul — Yahoo Finance/Fortune, 2025-2026; Diageo India Glassdoor Reviews,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DEO Statistics, Financials, and Historical Revenue/Net Income Data, accessed July 2026</w:t>
      </w:r>
    </w:p>
    <w:p>
      <w:pPr>
        <w:spacing w:before="20" w:after="20"/>
        <w:ind w:left="170"/>
      </w:pPr>
      <w:r>
        <w:rPr>
          <w:rFonts w:ascii="Calibri" w:hAnsi="Calibri"/>
          <w:b/>
          <w:color w:val="4A6B25"/>
          <w:sz w:val="15"/>
        </w:rPr>
        <w:t xml:space="preserve">7. </w:t>
      </w:r>
      <w:r>
        <w:rPr>
          <w:rFonts w:ascii="Calibri" w:hAnsi="Calibri"/>
          <w:b w:val="0"/>
          <w:color w:val="3A4A28"/>
          <w:sz w:val="17"/>
        </w:rPr>
        <w:t>Diageo ESG Strategy 'Spirit of Progress' and MSCI AAA ESG Rating — diageo.com/en/esg, KnowESG, accessed July 2026</w:t>
      </w:r>
    </w:p>
    <w:p>
      <w:pPr>
        <w:spacing w:before="20" w:after="20"/>
        <w:ind w:left="170"/>
      </w:pPr>
      <w:r>
        <w:rPr>
          <w:rFonts w:ascii="Calibri" w:hAnsi="Calibri"/>
          <w:b/>
          <w:color w:val="4A6B25"/>
          <w:sz w:val="15"/>
        </w:rPr>
        <w:t xml:space="preserve">8. </w:t>
      </w:r>
      <w:r>
        <w:rPr>
          <w:rFonts w:ascii="Calibri" w:hAnsi="Calibri"/>
          <w:b w:val="0"/>
          <w:color w:val="3A4A28"/>
          <w:sz w:val="17"/>
        </w:rPr>
        <w:t>Diageo AI and Digital Transformation — Creativebrief 'How Diageo is embracing the AI opportunity'; Auroralive 'The AI Advantage: Diageo's Strategies for Market Dominance and Growth,' 2025-2026</w:t>
      </w:r>
    </w:p>
    <w:p>
      <w:pPr>
        <w:spacing w:before="20" w:after="20"/>
        <w:ind w:left="170"/>
      </w:pPr>
      <w:r>
        <w:rPr>
          <w:rFonts w:ascii="Calibri" w:hAnsi="Calibri"/>
          <w:b/>
          <w:color w:val="4A6B25"/>
          <w:sz w:val="15"/>
        </w:rPr>
        <w:t xml:space="preserve">9. </w:t>
      </w:r>
      <w:r>
        <w:rPr>
          <w:rFonts w:ascii="Calibri" w:hAnsi="Calibri"/>
          <w:b w:val="0"/>
          <w:color w:val="3A4A28"/>
          <w:sz w:val="17"/>
        </w:rPr>
        <w:t>Diageo Global Market Share Data — Statista, Britannica Money 'Diageo | History, Products, &amp; Global Strategy,' accessed July 2026</w:t>
      </w:r>
    </w:p>
    <w:p>
      <w:pPr>
        <w:spacing w:before="20" w:after="20"/>
        <w:ind w:left="170"/>
      </w:pPr>
      <w:r>
        <w:rPr>
          <w:rFonts w:ascii="Calibri" w:hAnsi="Calibri"/>
          <w:b/>
          <w:color w:val="4A6B25"/>
          <w:sz w:val="15"/>
        </w:rPr>
        <w:t xml:space="preserve">10. </w:t>
      </w:r>
      <w:r>
        <w:rPr>
          <w:rFonts w:ascii="Calibri" w:hAnsi="Calibri"/>
          <w:b w:val="0"/>
          <w:color w:val="3A4A28"/>
          <w:sz w:val="17"/>
        </w:rPr>
        <w:t>Guinness 0.0 Launch and NoLo Portfolio Expansion — diageo.com Press Release, 2020; Diageo Beer Brand Pages,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