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DHC</w:t>
      </w:r>
      <w:r>
        <w:rPr>
          <w:rFonts w:ascii="Calibri" w:hAnsi="Calibri"/>
          <w:b/>
          <w:color w:val="1A2010"/>
          <w:sz w:val="40"/>
        </w:rPr>
        <w:t xml:space="preserve">  Diversified Healthcare Trust</w:t>
      </w:r>
    </w:p>
    <w:p>
      <w:pPr>
        <w:spacing w:after="120"/>
      </w:pPr>
      <w:r>
        <w:rPr>
          <w:rFonts w:ascii="Calibri" w:hAnsi="Calibri"/>
          <w:b/>
          <w:color w:val="6E8450"/>
          <w:sz w:val="18"/>
        </w:rPr>
        <w:t>GROWTH SLEEVE · 2026-07-16 · Inspire: 40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Healthcare Facilities · NASDAQ · United States</w:t>
      </w:r>
    </w:p>
    <w:p>
      <w:pPr>
        <w:spacing w:after="80"/>
      </w:pPr>
      <w:r>
        <w:rPr>
          <w:rFonts w:ascii="Calibri" w:hAnsi="Calibri"/>
          <w:b w:val="0"/>
          <w:color w:val="3A4A28"/>
          <w:sz w:val="20"/>
        </w:rPr>
        <w:t>Diversified Healthcare Trust is a real estate investment trust focused on owning healthcare properties throughout the United States. As of March 31, 2026, DHC's approximately $6.2 billion portfolio included 285 properties in 33 states and Washington, D.C., with approximately 8.0 million square feet of medical office and life science properties and more than 27,000 senior living units. Managed externally by The RMR Group.</w:t>
      </w:r>
    </w:p>
    <w:p>
      <w:r>
        <w:rPr>
          <w:rFonts w:ascii="Calibri" w:hAnsi="Calibri"/>
          <w:b/>
          <w:color w:val="6E8450"/>
          <w:sz w:val="18"/>
        </w:rPr>
        <w:t>600 Employees · https://www.dhcreit.com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DHC's operational turnaround is gaining momentum — SHOP same-property NOI jumped 13.5% in Q1 2026 driven by rate hikes and successful operator transitions, with occupancy rising to 81.5% (+210bps YoY) [1]. Normalized FFO surged 131% YoY to $0.14/share in Q1 2026, and the company raised full-year 2026 FFO guidance to $0.52-$0.58/share [1]. The 116 community transitions from AlerisLife are complete. AI Deployment (0/2): No evidence of AI-powered products or quantified AI-driven operational improvements; DHC is externally managed by RMR Group using traditional real estate management [3]. Market Share (1/2): DHC operates 285 healthcare properties worth ~$6.2B, a meaningful portfolio but not a category leader versus Welltower or Ventas [1][3]. Pipeline (1/2): Medical Office and Life Science portfolio shows robust leasing momentum with rents 9% above prior rates and occupancy rising to 86.6%; 2026 capex guidance of $100-115M signals continued property investment [1]. R&amp;D Intensity (0/1): As a REIT, no R&amp;D spending; value creation comes through property management and capital allocation.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DHC's purpose — owning healthcare properties that serve seniors and healthcare providers — connects to the genuine societal need of caring for an aging U.S. population across 27,000+ senior living units [3]. Board diversity is strong: 71% independent, 43% women, 29% underrepresented communities [3]. Community Impact (1/2): 285 properties serving 27,000+ senior living units and healthcare tenants across 33 states provide essential infrastructure for healthcare delivery, and RMR has been recognized as an EPA ENERGY STAR Partner of the Year [3]. Employee Retention (1/2): DHC is externally managed by RMR Group, recognized by The Boston Globe as a 'Top Place to Work' with nearly 900 real estate professionals [3]. External management provides professional stability but creates alignment questions. Insider Buying (1/2): CEO Chris Bilotto purchased 20,000 shares at $4.886 in December 2025 ($97,800), increasing ownership by 8.12% — a meaningful signal of confidence during the turnaround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DHC remains GAAP-unprofitable despite accelerating operational improvement. TTM revenue of $1.52B grew only 0.39% YoY, scoring 0.68 [1][2]. Profit margin remains deeply negative (estimated -15% improving from -18.6%), scoring 0.0 [2]. ROE of -18.75% scores 0.0 at 2x weight [2]. No forward P/E available as GAAP earnings remain negative. D/E of ~145% is moderate for a healthcare REIT — (300-145)/230 = 0.67 [2]. Revenue growth 5yr CAGR of ~6.2% scores 0.75 at 2x weight. Forward PEG unavailable, scoring 0.0 at 2x weight. The positive: normalized FFO of $0.52-$0.58/share for 2026 and interest expense down 36% YoY in Q1 2026 to $37M show the path to profitability [1]. Weighted sum: approximately 2.8/10 x 10 = 3. Liquidity floor cleared: $8.93 x 2M avg daily volume = $17.86M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DHC demonstrates mixed infinite game characteristics — the healthcare mission provides genuine long-term purpose, and the operational turnaround shows willingness to invest through years of losses ($949M+ cumulative from 2022-2025). However, the externally managed REIT structure (RMR Group) creates inherent principal-agent tensions, and 2026's strategic focus on rolling out CRM platforms, differentiated care levels, and dynamic pricing suggests near-term operational optimization rather than a transcendent long-term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DHC's purpose — providing healthcare properties for seniors and medical professionals — connects to the genuine societal need of caring for an aging population [3]. The board's commitment to ESG with SASB-aligned sustainability metrics demonstrates some cause-driven governance [3]. However, as an externally managed REIT, operational decisions are made by RMR Group (which manages multiple REITs), diluting Just Cause focus. The cause exists but is partially lived through an intermediary structure.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RMR Group has been recognized as a 'Top Place to Work' by The Boston Globe with 900 real estate professionals across 30+ offices [3]. Board diversity is strong: 71% independent, 43% women, 29% underrepresented communities. However, the external management model inherently limits trust alignment — RMR earns management fees regardless of DHC's stock performance. CEO Bilotto's insider buying at $4.89 in December 2025 partially mitigates this structural concern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DHC explicitly acknowledging Welltower, Ventas, or other healthcare REIT competitors as worthy rivals from whom it learns. Public communications focus on internal turnaround execution — SHOP NOI growth, operator transitions, leasing momentum — rather than competitive self-improvement or industry collaboration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DHC has demonstrated meaningful strategic evolution — completing 116 community transitions from AlerisLife, signing new operators like Discovery Senior Living, selling assets to eliminate 2025-2026 zero-coupon bonds, and pivoting from passive lease income to active SHOP management [1][3]. The portfolio has been reshaped from 335 properties to 285 through strategic dispositions. These represent significant adaptations, though the core business model remains a healthcare REIT.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DHC management maintained investment in the senior housing turnaround despite cumulative losses exceeding $949M from 2022-2025 [2]. The decision to transition operators and restructure rather than liquidating at distressed prices showed commitment to long-term value. CEO Bilotto's $98K personal stock purchase at $4.89 demonstrated skin-in-the-game conviction [4]. The massive asset sales to eliminate bond maturities showed decisive balance sheet management.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DHC is a healthcare REIT turnaround with accelerating operational momentum — Q1 2026 SHOP same-property NOI grew 13.5% with occupancy at 81.5% (+210bps YoY), normalized FFO surged 131% to $0.14/share, and interest expense fell 36% to $37M after massive 2025 asset sales eliminated near-term bond maturities [1]. The company raised 2026 FFO guidance to $0.52-$0.58/share. At $8.93, the stock trades at a substantial discount to the $6.2B portfolio value. The Medical Office and Life Science portfolio shows strong leasing momentum with rents 9% above prior rates and occupancy at 86.6% [1]. An aging U.S. baby boomer population provides a structural demographic tailwind for senior housing demand across DHC's 27,000+ units in 33 states.</w:t>
      </w:r>
    </w:p>
    <w:p>
      <w:pPr>
        <w:spacing w:after="120"/>
      </w:pPr>
      <w:r>
        <w:rPr>
          <w:rFonts w:ascii="Calibri" w:hAnsi="Calibri"/>
          <w:b w:val="0"/>
          <w:color w:val="3A4A28"/>
          <w:sz w:val="20"/>
        </w:rPr>
        <w:t>The bear case centers on persistent GAAP losses and structural governance concerns. DHC has posted cumulative net losses exceeding $949M from 2022-2025, and forward P/E remains unavailable because GAAP earnings are still negative [2]. The external management structure through RMR Group creates principal-agent conflicts — RMR earns fees regardless of DHC stock performance. ROE of -18.75% is deeply negative, and the token $0.04 annual dividend (0.43% yield) signals inability to return meaningful capital [2]. Senior housing faces persistent labor cost pressures as healthcare worker wages rise, potentially limiting margin expansion even as occupancy improves. The path from normalized FFO profitability to GAAP profitability and meaningful dividend restoration remains long and uncertain, and D/E of ~145% constrains financial flexibility for new acquisitions.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SHOP same-property NOI acceleration continuing through 2026 driven by occupancy expansion toward 85%+ and 4-6% average rate increases on transitioned properties, with full-year FFO guidance of $0.52-$0.58/share [1]</w:t>
      </w:r>
    </w:p>
    <w:p>
      <w:pPr>
        <w:spacing w:before="40" w:after="40"/>
        <w:ind w:left="283"/>
      </w:pPr>
      <w:r>
        <w:rPr>
          <w:rFonts w:ascii="Calibri" w:hAnsi="Calibri"/>
          <w:b/>
          <w:color w:val="4A6B25"/>
          <w:sz w:val="20"/>
        </w:rPr>
        <w:t xml:space="preserve">2. </w:t>
      </w:r>
      <w:r>
        <w:rPr>
          <w:rFonts w:ascii="Calibri" w:hAnsi="Calibri"/>
          <w:b w:val="0"/>
          <w:color w:val="3A4A28"/>
          <w:sz w:val="20"/>
        </w:rPr>
        <w:t>U.S. demographic tailwind — aging baby boomer population structurally increasing demand for 27,000+ senior living units across DHC's portfolio over the next decade [3]</w:t>
      </w:r>
    </w:p>
    <w:p>
      <w:pPr>
        <w:spacing w:before="40" w:after="40"/>
        <w:ind w:left="283"/>
      </w:pPr>
      <w:r>
        <w:rPr>
          <w:rFonts w:ascii="Calibri" w:hAnsi="Calibri"/>
          <w:b/>
          <w:color w:val="4A6B25"/>
          <w:sz w:val="20"/>
        </w:rPr>
        <w:t xml:space="preserve">3. </w:t>
      </w:r>
      <w:r>
        <w:rPr>
          <w:rFonts w:ascii="Calibri" w:hAnsi="Calibri"/>
          <w:b w:val="0"/>
          <w:color w:val="3A4A28"/>
          <w:sz w:val="20"/>
        </w:rPr>
        <w:t>Path to GAAP profitability — as NOI growth continues and interest expense falls (down 36% YoY in Q1 2026), crossover to positive GAAP earnings could trigger significant re-rating and dividend restoration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GAAP losses — cumulative $949M+ net losses from 2022-2025 with forward EPS still negative, raising questions about the timeline to sustainable profitability [2]</w:t>
      </w:r>
    </w:p>
    <w:p>
      <w:pPr>
        <w:spacing w:before="40" w:after="40"/>
        <w:ind w:left="283"/>
      </w:pPr>
      <w:r>
        <w:rPr>
          <w:rFonts w:ascii="Calibri" w:hAnsi="Calibri"/>
          <w:b/>
          <w:color w:val="4A6B25"/>
          <w:sz w:val="20"/>
        </w:rPr>
        <w:t xml:space="preserve">2. </w:t>
      </w:r>
      <w:r>
        <w:rPr>
          <w:rFonts w:ascii="Calibri" w:hAnsi="Calibri"/>
          <w:b w:val="0"/>
          <w:color w:val="3A4A28"/>
          <w:sz w:val="20"/>
        </w:rPr>
        <w:t>External management structure conflicts — RMR Group earns management fees regardless of DHC stock performance, creating misaligned incentives and limiting direct accountability for shareholder returns [3]</w:t>
      </w:r>
    </w:p>
    <w:p>
      <w:pPr>
        <w:spacing w:before="40" w:after="40"/>
        <w:ind w:left="283"/>
      </w:pPr>
      <w:r>
        <w:rPr>
          <w:rFonts w:ascii="Calibri" w:hAnsi="Calibri"/>
          <w:b/>
          <w:color w:val="4A6B25"/>
          <w:sz w:val="20"/>
        </w:rPr>
        <w:t xml:space="preserve">3. </w:t>
      </w:r>
      <w:r>
        <w:rPr>
          <w:rFonts w:ascii="Calibri" w:hAnsi="Calibri"/>
          <w:b w:val="0"/>
          <w:color w:val="3A4A28"/>
          <w:sz w:val="20"/>
        </w:rPr>
        <w:t>Healthcare labor cost inflation — senior living operations are labor-intensive, and persistent healthcare worker wage pressure could limit margin expansion even as occupancy improves, capping the NOI growth trajectory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DHC's core business — owning and operating physical senior living communities and medical office buildings — is structurally immune to AI disruption [3]. Senior care requires hands-on human interaction for daily activities, medication management, social engagement, and emergency response that AI cannot substitute. Medical office properties are essential physical infrastructure for in-person healthcare delivery. An aging U.S. population structurally increases demand for senior housing regardless of AI advancement. The advanced CRM platforms and dynamic pricing strategies being rolled out may incorporate AI enhancements but this improves rather than threatens operations [1]. AI Opportunity (0/1): No evidence of AI-generated revenue; neither DHC nor its manager RMR Group has disclosed AI products or quantifiable AI-driven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Diversified Healthcare Trust Q1 2026 Earnings Release — SHOP NOI +13.5%, occupancy 81.5% (+210bps YoY), normalized FFO $0.14/share (+131% YoY), interest expense -36%, 2026 guidance $0.52-$0.58 FFO/share, May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DHC revenue ($1.52B TTM, +0.39% YoY), stock price $8.93, market cap $2.16B,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DHC Corporate Website / RMR Group — portfolio overview (285 properties, 33 states), board diversity (71% independent, 43% women), EPA Energy Star, SASB metrics,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MarketBeat / StockTitan — CEO Chris Bilotto insider purchase 20,000 shares at $4.886, 2026 proxy with 113% 2025 total shareholder return, December 2025 -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