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DLR</w:t>
      </w:r>
      <w:r>
        <w:rPr>
          <w:rFonts w:ascii="Calibri" w:hAnsi="Calibri"/>
          <w:b/>
          <w:color w:val="1A2010"/>
          <w:sz w:val="40"/>
        </w:rPr>
        <w:t xml:space="preserve">  Digital Realty Trust, Inc.</w:t>
      </w:r>
    </w:p>
    <w:p>
      <w:pPr>
        <w:spacing w:after="120"/>
      </w:pPr>
      <w:r>
        <w:rPr>
          <w:rFonts w:ascii="Calibri" w:hAnsi="Calibri"/>
          <w:b/>
          <w:color w:val="6E8450"/>
          <w:sz w:val="18"/>
        </w:rPr>
        <w:t>DIVIDEND SLEEVE · 2026-07-18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(Data Centers) · NYSE · United States</w:t>
      </w:r>
    </w:p>
    <w:p>
      <w:pPr>
        <w:spacing w:after="80"/>
      </w:pPr>
      <w:r>
        <w:rPr>
          <w:rFonts w:ascii="Calibri" w:hAnsi="Calibri"/>
          <w:b w:val="0"/>
          <w:color w:val="3A4A28"/>
          <w:sz w:val="20"/>
        </w:rPr>
        <w:t>Digital Realty Trust is a global data center REIT that supports the full spectrum of colocation, interconnection, and hyperscale data center solutions through its PlatformDIGITAL offering. The company owns and operates data centers across more than 50 metros worldwide, connecting enterprises, cloud providers, and hyperscalers to power cloud computing and AI workloads. Headquartered in Austin, Texas, and led by CEO Andy Power.</w:t>
      </w:r>
    </w:p>
    <w:p>
      <w:r>
        <w:rPr>
          <w:rFonts w:ascii="Calibri" w:hAnsi="Calibri"/>
          <w:b/>
          <w:color w:val="6E8450"/>
          <w:sz w:val="18"/>
        </w:rPr>
        <w:t>4,282 Employees · https://www.digitalrealty.com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Digital Realty launched the Digital Realty Innovation Lab (DRIL) for AI/hybrid-cloud workload testing and rolled out direct liquid cooling (DLC) infrastructure to meet AI rack-density demand, representing a meaningful product extension though not a full business model transformation [2]. AI Deployment (2/2): Q1 2026 record leasing bookings of $707M (100% share), with 21% of 0-1MW deals AI-oriented and 116 new customer logos, demonstrates AI-driven products shipping with quantified results [1]. Market Share (1/2): DLR is a top-two global data center operator alongside Equinix, but no specific share percentage or share-gain data was found in current research. Product Pipeline (1/2): 2026 guidance of $6.65-6.75B revenue reflects continued build-out, but no specific next-gen product with a named launch date was identified beyond general capacity expansion [1]. R&amp;D Intensity (0/1): As a REIT, Digital Realty does not report traditional R&amp;D spend; no evidence of above-peer R&amp;D intensity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Digital Realty's stated purpose — to provide 'the safe and open meeting place where companies of all sizes can come together, collaborate, and innovate around data' — clearly identifies what the company does but reads as functional description rather than a transformative, decades-validated cause [2]. Community Impact (1/2): The company maintains a community engagement program encouraging employee volunteer involvement, but no specific dollar figures or distinctive flagship programs were identified in current research [3]. Employee Retention (0/2): No specific tenure or turnover data was found despite searching. Insider Buying (0/2): No evidence of net insider buying activity in the last 12 months was found in available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D/E of 77% is modestly above the 70% target [1]. ROE of 5.69% is well below the 15% target, reflecting REIT depreciation-heavy accounting rather than cash economics [1]. Revenue growth rebounded to 10.0% YoY in FY2025 after a soft 1.4% FY2024, roughly meeting the 10% target, while profit margin of 21.8% clears the 20% target [1][2]. Forward P/E of 82.9 is far above the 60 floor, reflecting a valuation priced for AI-driven growth that outpaces near-term earnings — this is the single largest drag on the score. On dividend metrics, DLR has paid dividends for two decades but the payout has been flat since late 2021 (consecutive years of growth effectively 0, 5yr dividend CAGR ~1.3%), while the FFO-based payout ratio (~61% using $8.05 midpoint core FFO guidance against the $4.88 annual dividend) is healthier than the GAAP-EPS-based 130% figure suggests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Digital Realty has consistently built toward a single long-term thesis — becoming the connective tissue of the digital economy — through two decades of steady data center expansion, and it is now capitalizing on the AI buildout it positioned for years in advance. However, the evidence of tested courage, deep organizational trust, and a truly distinctive Just Cause (versus a well-executed real estate strategy) is thinner than for best-in-class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'safe and open meeting place... to power the innovation determining its future' purpose has guided consistent strategy since the company's 2004 IPO through multiple technology cycles (cloud, then AI), and PlatformDIGITAL has been a multi-year connective thread [2]. It has not, however, been tested through existential crisis in the way Sinek's canonical examples have, and much of the messaging remains close to standard real estate/infrastructure positioning.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layoff or turnover red flags surfaced, and headcount has grown 8.8% year-over-year to 4,282 employees, suggesting organizational stability, but no specific tenure or psychological-safety evidence was found to support a top score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management commentary was found acknowledging Equinix or other data center rivals as a source of improvement; available commentary focuses on scale and demand capture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Digital Realty evolved from a traditional colocation/wholesale data center landlord into an AI-ready hyperscale infrastructure provider, deploying direct liquid cooling and the Innovation Lab to meet AI rack-density requirements — a real but incremental adaptation rather than a full business model reinvention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continued heavy capex into AI-ready capacity and liquid cooling infrastructure ahead of confirmed long-term demand, accepting elevated leverage and execution risk highlighted by analysts, though this reads more as calculated growth investment than a principled sacrifice of near-term earnings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Digital Realty is a structural beneficiary of the AI infrastructure buildout, posting record Q1 2026 leasing bookings of $707M (21% AI-oriented in the 0-1MW segment) and raising full-year 2026 core FFO guidance to $8.00-$8.10 per share alongside revenue guidance of $6.65-6.75B [1]. Revenue grew 16.1% YoY in Q1 2026 with core FFO up 15.3%, and the company's direct liquid cooling rollout and Innovation Lab position it to capture AI-driven rack-density demand that legacy colocation infrastructure cannot serve [1][2]. As essential physical infrastructure for cloud and AI workloads, DLR carries effectively zero AI substitution risk — it is a beneficiary of the same trend that threatens other industries.</w:t>
      </w:r>
    </w:p>
    <w:p>
      <w:pPr>
        <w:spacing w:after="120"/>
      </w:pPr>
      <w:r>
        <w:rPr>
          <w:rFonts w:ascii="Calibri" w:hAnsi="Calibri"/>
          <w:b w:val="0"/>
          <w:color w:val="3A4A28"/>
          <w:sz w:val="20"/>
        </w:rPr>
        <w:t>The core risk is valuation and capital discipline: at a forward P/E of 82.9 and PEG above 11, the stock is priced for flawless execution of a multi-year AI capacity buildout, and one narrative estimate places fair value as low as $110 versus the ~$174 trading price [4]. GAAP profitability remains volatile (EPS swung from -81% to +254% growth across recent years) and ROE of 5.7% is well below target, reflecting REIT depreciation accounting and reliance on continued capital raises to fund growth [1][2]. The dividend has been flat since late 2021, and rising debt to fund AI-ready capacity expansion, combined with intense hyperscaler concentration risk, could pressure returns if AI capex growth decelerates faster than expected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AI-driven hyperscaler leasing following the record $707M Q1 2026 bookings, with 21% of new deals explicitly AI-oriented and potential to accelerate further as inference workloads scale</w:t>
      </w:r>
    </w:p>
    <w:p>
      <w:pPr>
        <w:spacing w:before="40" w:after="40"/>
        <w:ind w:left="283"/>
      </w:pPr>
      <w:r>
        <w:rPr>
          <w:rFonts w:ascii="Calibri" w:hAnsi="Calibri"/>
          <w:b/>
          <w:color w:val="4A6B25"/>
          <w:sz w:val="20"/>
        </w:rPr>
        <w:t xml:space="preserve">2. </w:t>
      </w:r>
      <w:r>
        <w:rPr>
          <w:rFonts w:ascii="Calibri" w:hAnsi="Calibri"/>
          <w:b w:val="0"/>
          <w:color w:val="3A4A28"/>
          <w:sz w:val="20"/>
        </w:rPr>
        <w:t>Direct liquid cooling (DLC) rollout and Innovation Lab (DRIL) capturing next-generation high-density AI rack demand that legacy air-cooled data centers cannot serve</w:t>
      </w:r>
    </w:p>
    <w:p>
      <w:pPr>
        <w:spacing w:before="40" w:after="40"/>
        <w:ind w:left="283"/>
      </w:pPr>
      <w:r>
        <w:rPr>
          <w:rFonts w:ascii="Calibri" w:hAnsi="Calibri"/>
          <w:b/>
          <w:color w:val="4A6B25"/>
          <w:sz w:val="20"/>
        </w:rPr>
        <w:t xml:space="preserve">3. </w:t>
      </w:r>
      <w:r>
        <w:rPr>
          <w:rFonts w:ascii="Calibri" w:hAnsi="Calibri"/>
          <w:b w:val="0"/>
          <w:color w:val="3A4A28"/>
          <w:sz w:val="20"/>
        </w:rPr>
        <w:t>Potential resumption of dividend growth if FFO growth (guided 15%+ in Q1 2026) continues, following roughly four years of a flat payout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82.9 and PEG above 11 leave minimal margin of safety; a slowdown in AI capex growth among hyperscaler customers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and continued heavy capital investment to fund AI-ready capacity expansion increase execution and refinancing risk in a higher-for-longer rate environment</w:t>
      </w:r>
    </w:p>
    <w:p>
      <w:pPr>
        <w:spacing w:before="40" w:after="40"/>
        <w:ind w:left="283"/>
      </w:pPr>
      <w:r>
        <w:rPr>
          <w:rFonts w:ascii="Calibri" w:hAnsi="Calibri"/>
          <w:b/>
          <w:color w:val="4A6B25"/>
          <w:sz w:val="20"/>
        </w:rPr>
        <w:t xml:space="preserve">3. </w:t>
      </w:r>
      <w:r>
        <w:rPr>
          <w:rFonts w:ascii="Calibri" w:hAnsi="Calibri"/>
          <w:b w:val="0"/>
          <w:color w:val="3A4A28"/>
          <w:sz w:val="20"/>
        </w:rPr>
        <w:t>GAAP payout ratio of 130% (versus a healthier ~61% on an FFO basis) signals reliance on FFO growth and capital markets access rather than current GAAP earnings to sustain the dividend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Digital Realty IS the physical infrastructure AI runs on — data center capacity for hyperscalers and enterprises cannot be substituted by AI software; if anything, AI training and inference workloads are the single largest driver of incremental leasing demand [1][4]. Deutsche Bank lifted its price target to $220 citing DLR's scale and global AI-driven demand exposure, and analysts frame the company as a structural AI infrastructure beneficiary rather than a disruption target [4]. AI Opportunity (1/1): Record Q1 2026 leasing of $707M included 21% AI-oriented deals in the 0-1MW segment, and the company has quantified AI as a named demand driver in its raised full-year guidance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Digital Realty Q1 2026 Earnings Release and Raised FY2026 Guidance — Seeking Alpha, Investing.com transcripts, April-May 2026</w:t>
      </w:r>
    </w:p>
    <w:p>
      <w:pPr>
        <w:spacing w:before="20" w:after="20"/>
        <w:ind w:left="170"/>
      </w:pPr>
      <w:r>
        <w:rPr>
          <w:rFonts w:ascii="Calibri" w:hAnsi="Calibri"/>
          <w:b/>
          <w:color w:val="4A6B25"/>
          <w:sz w:val="15"/>
        </w:rPr>
        <w:t xml:space="preserve">2. </w:t>
      </w:r>
      <w:r>
        <w:rPr>
          <w:rFonts w:ascii="Calibri" w:hAnsi="Calibri"/>
          <w:b w:val="0"/>
          <w:color w:val="3A4A28"/>
          <w:sz w:val="17"/>
        </w:rPr>
        <w:t>Digital Realty Innovation Lab, Direct Liquid Cooling, and Andy Power Leadership Coverage — Data Centre Magazine, digitalrealty.com, 2025-2026</w:t>
      </w:r>
    </w:p>
    <w:p>
      <w:pPr>
        <w:spacing w:before="20" w:after="20"/>
        <w:ind w:left="170"/>
      </w:pPr>
      <w:r>
        <w:rPr>
          <w:rFonts w:ascii="Calibri" w:hAnsi="Calibri"/>
          <w:b/>
          <w:color w:val="4A6B25"/>
          <w:sz w:val="15"/>
        </w:rPr>
        <w:t xml:space="preserve">3. </w:t>
      </w:r>
      <w:r>
        <w:rPr>
          <w:rFonts w:ascii="Calibri" w:hAnsi="Calibri"/>
          <w:b w:val="0"/>
          <w:color w:val="3A4A28"/>
          <w:sz w:val="17"/>
        </w:rPr>
        <w:t>Digital Realty Community Engagement Program and ESG Reporting — digitalrealty.com/about/esg, 2023-2026</w:t>
      </w:r>
    </w:p>
    <w:p>
      <w:pPr>
        <w:spacing w:before="20" w:after="20"/>
        <w:ind w:left="170"/>
      </w:pPr>
      <w:r>
        <w:rPr>
          <w:rFonts w:ascii="Calibri" w:hAnsi="Calibri"/>
          <w:b/>
          <w:color w:val="4A6B25"/>
          <w:sz w:val="15"/>
        </w:rPr>
        <w:t xml:space="preserve">4. </w:t>
      </w:r>
      <w:r>
        <w:rPr>
          <w:rFonts w:ascii="Calibri" w:hAnsi="Calibri"/>
          <w:b w:val="0"/>
          <w:color w:val="3A4A28"/>
          <w:sz w:val="17"/>
        </w:rPr>
        <w:t>Digital Realty AI Demand and Valuation Analyst Commentary — Deutsche Bank price target, ad-hoc-news.de, Yahoo Finance,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DLR Key Statistics, Financials, Dividend History and Employee Count,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