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DNTH</w:t>
      </w:r>
      <w:r>
        <w:rPr>
          <w:rFonts w:ascii="Calibri" w:hAnsi="Calibri"/>
          <w:b/>
          <w:color w:val="1A2010"/>
          <w:sz w:val="40"/>
        </w:rPr>
        <w:t xml:space="preserve">  Dianthus Therapeutics, Inc.</w:t>
      </w:r>
    </w:p>
    <w:p>
      <w:pPr>
        <w:spacing w:after="120"/>
      </w:pPr>
      <w:r>
        <w:rPr>
          <w:rFonts w:ascii="Calibri" w:hAnsi="Calibri"/>
          <w:b/>
          <w:color w:val="6E8450"/>
          <w:sz w:val="18"/>
        </w:rPr>
        <w:t>GROWTH SLEEVE · 2026-08-09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Dianthus Therapeutics, Inc. is a clinical-stage biotechnology company focused on developing antibody complement therapeutics for severe autoimmune and inflammatory diseases. Lead candidate claseprubart is an anti-C1s monoclonal antibody in Phase 3 trials for generalized myasthenia gravis (gMG) and chronic inflammatory demyelinating polyneuropathy (CIDP), with additional programs in multifocal motor neuropathy (MMN). Pipeline includes DNTH212 and DNTH312 bifunctional fusion proteins. Headquartered in New York.</w:t>
      </w:r>
    </w:p>
    <w:p>
      <w:r>
        <w:rPr>
          <w:rFonts w:ascii="Calibri" w:hAnsi="Calibri"/>
          <w:b/>
          <w:color w:val="6E8450"/>
          <w:sz w:val="18"/>
        </w:rPr>
        <w:t>200 Employees · https://www.dianthustx.com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Dianthus rapidly advanced claseprubart from early clinical development to three concurrent late-stage programs in under four years — Phase 3 EMERGE (gMG), Phase 3 CAPTIVATE (CIDP showing 75% response rate in first 40 patients), and Phase 2 MoMeNtum (MMN with 46 patients enrolled, exceeding the 36-patient target) [1][3]. This represents a significant pipeline transformation for a company that started with a single preclinical concept. AI Deployment (0/2): No evidence of AI-powered drug discovery or AI-driven operational efficiencies. The company uses standard biotech clinical development approaches without reported AI integration [1]. Market Share (0/2): Pre-commercial clinical-stage company with zero market share. Claseprubart has not yet received regulatory approval in any indication [3]. Product Pipeline (2/2): Exceptional pipeline specificity: claseprubart Phase 3 EMERGE (gMG, results 2H 2028), Phase 3 CAPTIVATE Part B guidance by YE 2026, Phase 2 MoMeNtum results December 2026, DNTH212 Phase 1 data by YE 2026, and DNTH312 Phase 1-ready by YE 2027 [1]. Five distinct clinical readouts within 18 months provides clear visibility. R&amp;D Intensity (1/1): R&amp;D spending of $83.2M in H1 2026 against $1.9M TTM revenue represents near-infinite R&amp;D intensity — the company exists to do research, placing it in the top fraction of biotech R&amp;D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Dianthus's purpose — advancing complement-targeted therapeutics for patients with severe autoimmune diseases — is clear, patient-focused, and specific to an underserved disease area (gMG, CIDP, MMN), differentiating from generic biotech missions [1][3]. However, it describes what the company does rather than articulating a vision of a future state. Community Impact (0/2): No specific charitable programs, foundation activities, or community investments identified. As a clinical-stage company of approximately 200 employees, community giving is not a current focus area. Employee Retention (2/2): Dianthus is Great Place to Work Certified with exceptional employee sentiment — 99% feel welcomed from day one, 97% are proud to work there, 96% feel they make a difference, and 96% report being able to be their authentic selves [5]. These scores significantly exceed industry benchmarks and suggest a mission-driven culture. Insider Buying (0/2): No evidence of meaningful net insider buying by CEO Marino Garcia or other executives in the last 12 months. Insider ownership data not available in public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Dianthus is a pre-revenue clinical-stage biotech with $1.9M TTM license revenue, net loss of $192M, and negative profit margins — all scoring zero on income-based metrics [2]. The sole strength is balance sheet quality: approximately $1.2B in cash, equivalents, and investments with projected runway into 2030, supporting concurrent Phase 2/3 programs without near-term dilution risk [1]. D/E is negligible (minimal debt against large cash position). Revenue declined 60.8% YoY as license revenue is lumpy and immaterial to the investment thesis [2]. Forward P/E and PEG are not applicable for a company with negative earnings. The $6.09B market cap reflects pipeline option value, not current financial performance — this stock is entirely a clinical-stage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Dianthus Therapeutics has a clear patient-focused purpose but plays the standard biotech game — raise capital, advance clinical candidates, achieve regulatory milestones, and create shareholder value through pipeline derisking. The company has built an exceptional team culture (Great Place to Work Certified with 97%+ satisfaction scores) but is too young and too narrowly focused on a single therapeutic platform to demonstrate the multi-decade consistency Sinek looks for in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Dianthus's purpose — treating severe autoimmune diseases through complement therapeutics — is patient-centered and connected to real human suffering, which elevates it above pure shareholder-return framing [1][3]. However, it is essentially a product-company mission (make this drug and sell it) rather than a Just Cause that could survive beyond any single product. It does not describe a future state so compelling that people sacrifice to advance it — it describes a business plan. Sinek would distinguish between a genuinely noble goal and a commercial strategy with noble framing.</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Dianthus earned Great Place to Work certification with exceptional scores — 99% welcomed, 97% proud, 96% feel they make a difference, 96% can be themselves [5]. CSO Susan Kalled describes 'a culture of innovation that's critical to high-impact success in early-stage companies.' For a biotech of ~200 employees running multiple late-stage programs, these satisfaction scores are remarkable and suggest genuine psychological safety, mission alignment, and trust in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Dianthus positions claseprubart against existing complement inhibitors (Soliris/Ultomiris, Vyvgart) in terms of superior dosing convenience and differentiated mechanism, which is standard competitive framing focused on product superiority rather than learning from rivals' strengths [3]. The biotech industry generally operates in a race-to-market finite frame.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Dianthus is a young, single-platform company that has not yet faced the kind of existential test Sinek describes. The company is focused on complement inhibition for autoimmune diseases and has not pivoted or abandoned a core business [1]. DNTH212 and DNTH312 represent pipeline extensions, not transformative pivots. The company is too early in its lifecycle to have demonstrated existential flexibility — it has never had a profitable business to abandon.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Marino Garcia made the bold decision to pursue three concurrent late-stage clinical programs (gMG, CIDP, MMN) simultaneously rather than the safer sequential approach, committing $83.2M in R&amp;D in H1 2026 alone [1]. The company over-enrolled the MoMeNtum trial (46 vs. 36 target) to strengthen data, showing willingness to invest for long-term quality over short-term capital preservation. However, with $1.2B cash and projected runway into 2030, these bets are well-funded rather than truly sacrificial.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Dianthus Therapeutics is one of the most compelling clinical-stage biotechs in autoimmune disease, with claseprubart demonstrating a 75% response rate in the first 40 CIDP patients (Phase 3 CAPTIVATE) and three concurrent late-stage programs creating multiple shots on goal [1]. The $6.09B market cap reflects the pipeline's blockbuster potential across generalized myasthenia gravis (Phase 3 EMERGE launched June 2026, Orphan Drug Designation received), CIDP, and MMN — conditions affecting over 200,000 patients in the US alone [3]. With $1.2B cash providing runway into 2030, the company can fund all current programs through pivotal readouts without dilution. The anti-C1s mechanism offers differentiated efficacy with potentially lower infection risk versus broader complement inhibitors, and the subcutaneous formulation with infrequent dosing creates competitive advantages over Soliris/Ultomiris.</w:t>
      </w:r>
    </w:p>
    <w:p>
      <w:pPr>
        <w:spacing w:after="120"/>
      </w:pPr>
      <w:r>
        <w:rPr>
          <w:rFonts w:ascii="Calibri" w:hAnsi="Calibri"/>
          <w:b w:val="0"/>
          <w:color w:val="3A4A28"/>
          <w:sz w:val="20"/>
        </w:rPr>
        <w:t>The bear case is that Dianthus is a pre-revenue company burning $50M+ per quarter with zero commercial infrastructure, making it entirely dependent on clinical trial outcomes [1][2]. The stock has risen 829% in the past year, pricing in significant pipeline success — any Phase 3 failure or clinical setback would trigger catastrophic multiple compression. Five concurrent clinical readouts over the next 18 months creates a binary event calendar where each readout is both opportunity and risk. The 75% CAPTIVATE response rate is from an open-label design with only 40 patients — placebo-controlled Phase 3 results could differ materially. Additionally, the company will eventually need to build a commercial organization from scratch ($200M+ buildout cost), and competition from Argenx (Vyvgart), Alexion (Ultomiris), and UCB in complement/FcRn space is intensifying.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MoMeNtum results in MMN expected December 2026, providing the first placebo-controlled data for claseprubart and potentially derisking the platform across multiple indications</w:t>
      </w:r>
    </w:p>
    <w:p>
      <w:pPr>
        <w:spacing w:before="40" w:after="40"/>
        <w:ind w:left="283"/>
      </w:pPr>
      <w:r>
        <w:rPr>
          <w:rFonts w:ascii="Calibri" w:hAnsi="Calibri"/>
          <w:b/>
          <w:color w:val="4A6B25"/>
          <w:sz w:val="20"/>
        </w:rPr>
        <w:t xml:space="preserve">2. </w:t>
      </w:r>
      <w:r>
        <w:rPr>
          <w:rFonts w:ascii="Calibri" w:hAnsi="Calibri"/>
          <w:b w:val="0"/>
          <w:color w:val="3A4A28"/>
          <w:sz w:val="20"/>
        </w:rPr>
        <w:t>Phase 3 CAPTIVATE Part B design guidance expected by year-end 2026, with 75% open-label response rate setting a high bar for confirmatory results in CIDP</w:t>
      </w:r>
    </w:p>
    <w:p>
      <w:pPr>
        <w:spacing w:before="40" w:after="40"/>
        <w:ind w:left="283"/>
      </w:pPr>
      <w:r>
        <w:rPr>
          <w:rFonts w:ascii="Calibri" w:hAnsi="Calibri"/>
          <w:b/>
          <w:color w:val="4A6B25"/>
          <w:sz w:val="20"/>
        </w:rPr>
        <w:t xml:space="preserve">3. </w:t>
      </w:r>
      <w:r>
        <w:rPr>
          <w:rFonts w:ascii="Calibri" w:hAnsi="Calibri"/>
          <w:b w:val="0"/>
          <w:color w:val="3A4A28"/>
          <w:sz w:val="20"/>
        </w:rPr>
        <w:t>DNTH212 bifunctional fusion protein Phase 1 healthy volunteer data anticipated by year-end 2026, potentially opening Sjogren's, SLE, and dermatomyositis as additional pipeline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has appreciated 829% YoY, pricing in substantial pipeline success — any clinical trial failure across five upcoming readouts could trigger 50%+ decline given zero revenue base</w:t>
      </w:r>
    </w:p>
    <w:p>
      <w:pPr>
        <w:spacing w:before="40" w:after="40"/>
        <w:ind w:left="283"/>
      </w:pPr>
      <w:r>
        <w:rPr>
          <w:rFonts w:ascii="Calibri" w:hAnsi="Calibri"/>
          <w:b/>
          <w:color w:val="4A6B25"/>
          <w:sz w:val="20"/>
        </w:rPr>
        <w:t xml:space="preserve">2. </w:t>
      </w:r>
      <w:r>
        <w:rPr>
          <w:rFonts w:ascii="Calibri" w:hAnsi="Calibri"/>
          <w:b w:val="0"/>
          <w:color w:val="3A4A28"/>
          <w:sz w:val="20"/>
        </w:rPr>
        <w:t>Phase 3 EMERGE trial in gMG (results expected 2H 2028) faces intense competition from Argenx's Vyvgart and Alexion's Ultomiris, both already approved and generating billions in revenue</w:t>
      </w:r>
    </w:p>
    <w:p>
      <w:pPr>
        <w:spacing w:before="40" w:after="40"/>
        <w:ind w:left="283"/>
      </w:pPr>
      <w:r>
        <w:rPr>
          <w:rFonts w:ascii="Calibri" w:hAnsi="Calibri"/>
          <w:b/>
          <w:color w:val="4A6B25"/>
          <w:sz w:val="20"/>
        </w:rPr>
        <w:t xml:space="preserve">3. </w:t>
      </w:r>
      <w:r>
        <w:rPr>
          <w:rFonts w:ascii="Calibri" w:hAnsi="Calibri"/>
          <w:b w:val="0"/>
          <w:color w:val="3A4A28"/>
          <w:sz w:val="20"/>
        </w:rPr>
        <w:t>Pre-commercial company burning $100M+ annually will need to build full commercial infrastructure ($200M+ investment) while managing concurrent Phase 3 programs, creating significant execution and capital allocation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requires extensive multi-year clinical trials, FDA regulatory approval, GMP manufacturing, and patent-protected intellectual property that AI cannot substitute [3]. Claseprubart's complement-targeted mechanism in gMG and CIDP requires human clinical validation across hundreds of patients — no amount of AI can replace Phase 3 regulatory data. The physical infrastructure of clinical trials (sites, investigators, patient enrollment, drug manufacturing) creates strong barriers to AI disruption. However, AI-driven drug discovery platforms could accelerate competitors' identification of alternative complement inhibitors or novel mechanisms, and AI tools may eventually compress clinical trial timelines for rivals. AI Opportunity (0/1): No evidence of AI-generated revenue. The company does not sell AI-powered products or services and has not reported using AI to accelerate its own drug discovery in a revenue-generating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Dianthus Therapeutics Q2 2026 Financial Results and Business Achievements — BioSpace,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DNTH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Dianthus Phase 3 EMERGE gMG Trial Launch Analysis — SahmCapital, July 2026</w:t>
      </w:r>
    </w:p>
    <w:p>
      <w:pPr>
        <w:spacing w:before="20" w:after="20"/>
        <w:ind w:left="170"/>
      </w:pPr>
      <w:r>
        <w:rPr>
          <w:rFonts w:ascii="Calibri" w:hAnsi="Calibri"/>
          <w:b/>
          <w:color w:val="4A6B25"/>
          <w:sz w:val="15"/>
        </w:rPr>
        <w:t xml:space="preserve">4. </w:t>
      </w:r>
      <w:r>
        <w:rPr>
          <w:rFonts w:ascii="Calibri" w:hAnsi="Calibri"/>
          <w:b w:val="0"/>
          <w:color w:val="3A4A28"/>
          <w:sz w:val="17"/>
        </w:rPr>
        <w:t>Dianthus Therapeutics Q1 2026 Financial Results — GlobeNewsWire, May 2026</w:t>
      </w:r>
    </w:p>
    <w:p>
      <w:pPr>
        <w:spacing w:before="20" w:after="20"/>
        <w:ind w:left="170"/>
      </w:pPr>
      <w:r>
        <w:rPr>
          <w:rFonts w:ascii="Calibri" w:hAnsi="Calibri"/>
          <w:b/>
          <w:color w:val="4A6B25"/>
          <w:sz w:val="15"/>
        </w:rPr>
        <w:t xml:space="preserve">5. </w:t>
      </w:r>
      <w:r>
        <w:rPr>
          <w:rFonts w:ascii="Calibri" w:hAnsi="Calibri"/>
          <w:b w:val="0"/>
          <w:color w:val="3A4A28"/>
          <w:sz w:val="17"/>
        </w:rPr>
        <w:t>Great Place to Work — Dianthus Therapeutics Certification and Employee Surveys,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