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DOC</w:t>
      </w:r>
      <w:r>
        <w:rPr>
          <w:rFonts w:ascii="Calibri" w:hAnsi="Calibri"/>
          <w:b/>
          <w:color w:val="1A2010"/>
          <w:sz w:val="40"/>
        </w:rPr>
        <w:t xml:space="preserve">  Healthpeak Properties, Inc.</w:t>
      </w:r>
    </w:p>
    <w:p>
      <w:pPr>
        <w:spacing w:after="120"/>
      </w:pPr>
      <w:r>
        <w:rPr>
          <w:rFonts w:ascii="Calibri" w:hAnsi="Calibri"/>
          <w:b/>
          <w:color w:val="6E8450"/>
          <w:sz w:val="18"/>
        </w:rPr>
        <w:t>DIVIDEND SLEEVE · 2026-08-17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Healthpeak Properties is an S&amp;P 500 real estate investment trust focused on healthcare discovery and delivery, owning and operating 703+ properties across outpatient medical, lab, and senior housing segments. The company merged with Physicians Realty Trust in March 2024 and completed the Janus Living senior housing REIT IPO in March 2026, retaining 81.6% ownership. In Q2 2026, Healthpeak raised FFO guidance to $1.73-1.77/share, reported lab occupancy surging 80bps to 78.5%, and closed a Brookfield joint venture generating $1B in proceeds. Founded in 1985, headquartered in Denver, Colorado.</w:t>
      </w:r>
    </w:p>
    <w:p>
      <w:r>
        <w:rPr>
          <w:rFonts w:ascii="Calibri" w:hAnsi="Calibri"/>
          <w:b/>
          <w:color w:val="6E8450"/>
          <w:sz w:val="18"/>
        </w:rPr>
        <w:t>411 Employees · https://www.healthpeak.com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The Physicians Realty Trust merger (March 2024) created a diversified 703-property healthcare REIT, the Janus Living IPO (March 2026) generated ~$880M in proceeds while retaining 81.6% ownership, and the Brookfield joint venture delivered $1B in proceeds — all creative value-unlocking transactions but fundamentally financial engineering rather than product or technology innovation [1]. AI Deployment (1/2): Healthpeak hired Omkar Joshi, a Palantir veteran of nearly a decade, as Head of Enterprise Innovation to lead technology, automation, and data initiatives, and is rolling out an agentic operating system across back-office operations and tenant experience — early-stage but signals institutional commitment [2]. Market Share Leadership (1/2): One of the largest healthcare REITs with 703+ properties and life science campuses in San Francisco, Boston, and San Diego innovation markets, but competes in a fragmented market against Welltower, Ventas, and other large REITs [1]. Product Pipeline (1/2): Janus Living posted 19% same-store NOI growth and is on pace to double in size, lab occupancy recovered from 65% to 97% leased at Torrey Pines, and outpatient medical executed 1.2M square feet with +5% cash re-leasing spreads [1]. R&amp;D Intensity (0/1): REIT sector is not R&amp;D intensive; capital allocation goes toward acquisitions and development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Healthpeak's mission to provide 'high-quality real estate for healthcare discovery and delivery' is clear and connects the company's work to healthcare, but it is primarily a real estate investment thesis rather than an articulation of deeper purpose — the company is a landlord, not a healthcare provider [2]. Community Impact (1/2): The healthcare portfolio inherently serves community health needs through outpatient medical buildings, lab facilities, and senior housing. Healthpeak has earned CDP Leadership Band recognition for 11 consecutive years and GRESB Green Star for 13 consecutive years, issued green bonds totaling $450M+, and links ESG performance to executive compensation [3]. Employee Retention (1/2): The lean 411-person team manages a complex 703-property portfolio efficiently. CEO Scott Brinker has provided stable leadership since 2020, and the company hosts an annual Women's Leadership Summit [2]. Insider Buying (0/2): Insiders sold approximately $0.2M in the most recent quarter with no buying activity, indicating net insider selling — a modest but negative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(yield 5.80% &gt; 2%, dividends paid continuously since 1985 = 40 years). REIT accounting structurally distorts traditional metrics — forward P/E of 100.46 reflects GAAP depreciation, not economic earnings, and the 359% payout ratio is measured against GAAP earnings rather than FFO [1][4]. FFO adjusted of $0.46/share in Q2 2026 and raised full-year guidance of $1.73-1.77/share well exceed the ~$1.22 annual dividend. D/E of 118.2% is elevated but typical for REITs (score 0.79). ROE of 2.80% is very low even by REIT standards (score 0.19). Revenue growth YoY of 6% driven by Q2 revenue of $749.81M (score 0.87). Forward P/E of 100.46 scores 0.0. Profit margin of 7.7% scores 0.39. Consecutive years paid of 40 earns maximum at 2x weight. Zero consecutive years of dividend growth and zero 5-year dividend growth CAGR weigh heavily at combined 3x weight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Healthpeak operates with the steady, long-term asset orientation typical of REITs — 40 years of continuous dividends, multi-decade property holding periods, and the strategic patience to execute the Physicians Realty merger, Janus Living IPO, and Brookfield JV. However, the company's purpose is fundamentally financial (maximizing FFO, NAV, and shareholder returns) rather than driven by a transcendent cause that shapes strategic decisions beyond financial optimization.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Healthpeak's purpose centers on creating shareholder value through healthcare real estate investment. While providing physical infrastructure for healthcare delivery serves an important societal function, the company's articulation focuses on portfolio optimization, FFO growth, and NAV accretion rather than a vision of how healthcare delivery should evolve [2]. The healthcare focus is a market strategy, not a Just Cause in the Sinek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lean 411-person team manages a complex 703-property portfolio efficiently, with employees praising flexibility, management trust, and work-life balance. CEO Scott Brinker has provided stable leadership since 2020, and the annual Women's Leadership Summit demonstrates investment in workplace culture [2]. However, the small team size and post-merger integration dynamics limit the evidence base for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Healthpeak competes with Welltower and Ventas using standard REIT competitive positioning focused on portfolio quality, market selection, and financial metrics. No evidence of the growth-oriented competitive mindset where management references learning from rivals' strengths or uses competition as a catalyst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Physicians Realty merger (2024), Janus Living IPO ($880M, March 2026), Brookfield joint venture ($1B proceeds), and ongoing capital recycling demonstrate willingness to meaningfully reshape the portfolio structure [1]. However, these are incremental portfolio optimizations within the same healthcare REIT business model, not the kind of fundamental business reinvention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Janus Living IPO — structuring a complex spinoff generating $880M while retaining 81.6% ownership — and the Brookfield JV delivering $1B demonstrate strategic confidence [1]. Hiring a Palantir veteran to build an agentic AI operating platform shows forward thinking [2]. However, these are competent financial engineering decisions rather than the kind of costly bets that sacrifice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Healthpeak offers a 5.80% dividend yield supported by FFO adjusted guidance of $1.73-1.77/share (well above the ~$1.22 annual dividend), with Q2 2026 delivering beat-and-raise results — revenue of $749.81M beat estimates, FFO of $0.46/share beat consensus, and same-store NOI guidance was raised 75bps at midpoint [1]. The Brookfield joint venture generated $1B in proceeds, and Janus Living is on pace to double in size with 19% same-store NOI growth. Lab portfolio recovery is accelerating dramatically, with Torrey Pines submarket surging from ~65% leased in December to 97% including LOIs, and total lab occupancy gaining 140bps since year-end to 78.5% [1]. Outpatient medical leasing remains robust with 1.2M square feet executed and +5% cash re-leasing spreads. Aging U.S. demographics with 10,000 Baby Boomers turning 65 daily through 2030 create structural demand tailwinds for healthcare facilities.</w:t>
      </w:r>
    </w:p>
    <w:p>
      <w:pPr>
        <w:spacing w:after="120"/>
      </w:pPr>
      <w:r>
        <w:rPr>
          <w:rFonts w:ascii="Calibri" w:hAnsi="Calibri"/>
          <w:b w:val="0"/>
          <w:color w:val="3A4A28"/>
          <w:sz w:val="20"/>
        </w:rPr>
        <w:t>The bear case centers on structurally weak financial metrics despite the attractive yield. ROE of 2.80% is very low even by REIT standards, the forward P/E of 100.46x and GAAP payout ratio of 359% — while distorted by REIT depreciation accounting — deter investors using traditional fundamental screens [4]. The dividend has shown zero growth over 5 years, offering yield without capital appreciation — a potential value trap for income investors seeking total return. Life science lab vacancy rates, while recovering at Torrey Pines, remain elevated in broader markets as biotech funding has tightened and construction pipelines deliver new inventory across San Francisco, Boston, and San Diego [1]. D/E of 118.2% creates leverage risk with $10.71B in total debt against $1.18B in cash, and net debt leverage of approximately 5x adjusted EBITDA leaves limited buffer against credit deterioration. With only 411 employees managing 703+ properties, operational depth is thin compared to vertically integrated healthcare companies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Lab portfolio recovery accelerating — Torrey Pines submarket leased percentage surging from 65% in December to 97%, with total lab occupancy up 140bps since year-end to 78.5%, signaling inflection in the life science real estate cycle [1]</w:t>
      </w:r>
    </w:p>
    <w:p>
      <w:pPr>
        <w:spacing w:before="40" w:after="40"/>
        <w:ind w:left="283"/>
      </w:pPr>
      <w:r>
        <w:rPr>
          <w:rFonts w:ascii="Calibri" w:hAnsi="Calibri"/>
          <w:b/>
          <w:color w:val="4A6B25"/>
          <w:sz w:val="20"/>
        </w:rPr>
        <w:t xml:space="preserve">2. </w:t>
      </w:r>
      <w:r>
        <w:rPr>
          <w:rFonts w:ascii="Calibri" w:hAnsi="Calibri"/>
          <w:b w:val="0"/>
          <w:color w:val="3A4A28"/>
          <w:sz w:val="20"/>
        </w:rPr>
        <w:t>Janus Living subsidiary delivering 19% same-store NOI growth and on pace to double in size, providing a high-growth senior housing platform within the healthcare REIT portfolio [1]</w:t>
      </w:r>
    </w:p>
    <w:p>
      <w:pPr>
        <w:spacing w:before="40" w:after="40"/>
        <w:ind w:left="283"/>
      </w:pPr>
      <w:r>
        <w:rPr>
          <w:rFonts w:ascii="Calibri" w:hAnsi="Calibri"/>
          <w:b/>
          <w:color w:val="4A6B25"/>
          <w:sz w:val="20"/>
        </w:rPr>
        <w:t xml:space="preserve">3. </w:t>
      </w:r>
      <w:r>
        <w:rPr>
          <w:rFonts w:ascii="Calibri" w:hAnsi="Calibri"/>
          <w:b w:val="0"/>
          <w:color w:val="3A4A28"/>
          <w:sz w:val="20"/>
        </w:rPr>
        <w:t>Agentic AI operating platform deployment under Palantir veteran Omkar Joshi could unlock operational efficiencies across 703+ properties, improving NOI margins and tenant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dividend growth over 5 years and GAAP payout ratio of 359% create value trap dynamics — high current yield but no income growth or capital appreciation for investors requiring total return [4]</w:t>
      </w:r>
    </w:p>
    <w:p>
      <w:pPr>
        <w:spacing w:before="40" w:after="40"/>
        <w:ind w:left="283"/>
      </w:pPr>
      <w:r>
        <w:rPr>
          <w:rFonts w:ascii="Calibri" w:hAnsi="Calibri"/>
          <w:b/>
          <w:color w:val="4A6B25"/>
          <w:sz w:val="20"/>
        </w:rPr>
        <w:t xml:space="preserve">2. </w:t>
      </w:r>
      <w:r>
        <w:rPr>
          <w:rFonts w:ascii="Calibri" w:hAnsi="Calibri"/>
          <w:b w:val="0"/>
          <w:color w:val="3A4A28"/>
          <w:sz w:val="20"/>
        </w:rPr>
        <w:t>D/E of 118.2% with $10.71B total debt creates interest rate sensitivity — sustained higher rates increase borrowing costs and reduce the relative attractiveness of the 5.80% yield versus risk-free alternatives [4]</w:t>
      </w:r>
    </w:p>
    <w:p>
      <w:pPr>
        <w:spacing w:before="40" w:after="40"/>
        <w:ind w:left="283"/>
      </w:pPr>
      <w:r>
        <w:rPr>
          <w:rFonts w:ascii="Calibri" w:hAnsi="Calibri"/>
          <w:b/>
          <w:color w:val="4A6B25"/>
          <w:sz w:val="20"/>
        </w:rPr>
        <w:t xml:space="preserve">3. </w:t>
      </w:r>
      <w:r>
        <w:rPr>
          <w:rFonts w:ascii="Calibri" w:hAnsi="Calibri"/>
          <w:b w:val="0"/>
          <w:color w:val="3A4A28"/>
          <w:sz w:val="20"/>
        </w:rPr>
        <w:t>Broader life science lab vacancy rates remain elevated outside Torrey Pines as biotech funding constraints and construction pipeline deliveries create supply-demand imbalance in key innovation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Healthcare real estate is fundamentally physical infrastructure — 703+ outpatient medical buildings, laboratory facilities, and senior housing communities cannot be disrupted by AI [1]. Life science tenants in San Francisco, Boston, and San Diego conduct research that increasingly leverages AI-driven drug discovery, which accelerates demand for lab space rather than reducing it — Torrey Pines lab occupancy surging from 65% to 97% demonstrates this demand dynamic. Telemedicine has proven complementary to rather than a substitute for physical medical offices, and senior housing serves aging demographics with irreducible physical care needs. The only moderate exposure is that AI could optimize space utilization, potentially reducing total square footage demand per tenant over time. AI Opportunity (0/1): Healthpeak hired Omkar Joshi from Palantir as Head of Enterprise Innovation and is deploying an agentic operating system across operations, but no quantifiable AI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Healthpeak Properties Q2 2026 Results — Revenue $749.81M, FFO $0.46/share, FFO Guidance Raised to $1.73-1.77, Lab Occupancy 78.5%, Janus Living 19% NOI Growth, Brookfield JV $1B, August 2026</w:t>
      </w:r>
    </w:p>
    <w:p>
      <w:pPr>
        <w:spacing w:before="20" w:after="20"/>
        <w:ind w:left="170"/>
      </w:pPr>
      <w:r>
        <w:rPr>
          <w:rFonts w:ascii="Calibri" w:hAnsi="Calibri"/>
          <w:b/>
          <w:color w:val="4A6B25"/>
          <w:sz w:val="15"/>
        </w:rPr>
        <w:t xml:space="preserve">2. </w:t>
      </w:r>
      <w:r>
        <w:rPr>
          <w:rFonts w:ascii="Calibri" w:hAnsi="Calibri"/>
          <w:b w:val="0"/>
          <w:color w:val="3A4A28"/>
          <w:sz w:val="17"/>
        </w:rPr>
        <w:t>Healthpeak Properties AI and Innovation Strategy — Omkar Joshi (Palantir) as Head of Enterprise Innovation, Agentic Operating Platform, Leadership Overview, healthpeak.com, 2026</w:t>
      </w:r>
    </w:p>
    <w:p>
      <w:pPr>
        <w:spacing w:before="20" w:after="20"/>
        <w:ind w:left="170"/>
      </w:pPr>
      <w:r>
        <w:rPr>
          <w:rFonts w:ascii="Calibri" w:hAnsi="Calibri"/>
          <w:b/>
          <w:color w:val="4A6B25"/>
          <w:sz w:val="15"/>
        </w:rPr>
        <w:t xml:space="preserve">3. </w:t>
      </w:r>
      <w:r>
        <w:rPr>
          <w:rFonts w:ascii="Calibri" w:hAnsi="Calibri"/>
          <w:b w:val="0"/>
          <w:color w:val="3A4A28"/>
          <w:sz w:val="17"/>
        </w:rPr>
        <w:t>Healthpeak Properties ESG — CDP Leadership Band 11 Years, GRESB Green Star 13 Years, Green Bonds $450M+, ESG Linked to Executive Compensation, Nareit and healthpeak.com,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DOC Key Statistics: Forward P/E 100.46x, ROE 2.80%, D/E 118.2%, Stock Price $21.10,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