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DRH</w:t>
      </w:r>
      <w:r>
        <w:rPr>
          <w:rFonts w:ascii="Calibri" w:hAnsi="Calibri"/>
          <w:b/>
          <w:color w:val="1A2010"/>
          <w:sz w:val="40"/>
        </w:rPr>
        <w:t xml:space="preserve">  DiamondRock Hospitality Company</w:t>
      </w:r>
    </w:p>
    <w:p>
      <w:pPr>
        <w:spacing w:after="120"/>
      </w:pPr>
      <w:r>
        <w:rPr>
          <w:rFonts w:ascii="Calibri" w:hAnsi="Calibri"/>
          <w:b/>
          <w:color w:val="6E8450"/>
          <w:sz w:val="18"/>
        </w:rPr>
        <w:t>DIVIDEND SLEEVE · 2026-07-12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DiamondRock Hospitality is a self-advised lodging REIT owning 35 premium quality hotels and resorts with approximately 9,595 rooms, concentrated in leisure destinations and top gateway markets. Properties operate under Marriott, Hilton, Hyatt, and independent luxury brands. The company generates revenue from room rates, food and beverage, and other hotel operations.</w:t>
      </w:r>
    </w:p>
    <w:p>
      <w:r>
        <w:rPr>
          <w:rFonts w:ascii="Calibri" w:hAnsi="Calibri"/>
          <w:b/>
          <w:color w:val="6E8450"/>
          <w:sz w:val="18"/>
        </w:rPr>
        <w:t>35 Employees · https://www.drhc.com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DRH has executed meaningful portfolio repositioning toward premium leisure properties, selling lower-quality urban assets and investing in resort/destination hotels post-COVID [1]. However, the core business model is unchanged — the company remains a traditional hotel REIT with no transformative pivot or new revenue streams in five years. AI Deployment (0/2): No evidence DRH deploys AI-driven revenue management, guest experience, or cost optimization tools at scale across its 35 properties; brand partners Marriott, Hilton, and Hyatt drive technology decisions, not the REIT owner [1][2]. Market Share (1/2): DRH is a meaningful mid-cap lodging REIT with ~$2.3B market cap and 35 premium properties, but is dwarfed by Host Hotels ($13B) and Park Hotels ($4B), and does not define or lead any category [3]. Pipeline (1/2): AFFO/share guidance of $1.15 for 2026 represents a new company record (6.5% growth), and the fully unsecured balance sheet at 3.5x net debt/EBITDA provides capital flexibility for acquisitions [1]. R&amp;D Intensity (0/1): Hotel REITs have minimal R&amp;D spend; DRH relies entirely on brand partners for technology and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DRH's purpose centers on owning a 'leading geographically diversified portfolio of hotels' and 'creating premium total shareholder returns through rigorous capital allocation' — clear and operational but describes what they do, not a deeper purpose beyond shareholder returns [2]. Community Impact (1/2): The company ranked #1 by GRESB (Global Real Estate Sustainability Benchmark) and earned ISS ESG top 10% recognition globally with Prime Status designation [4]. Specific 2030 sustainability targets include 30% energy reduction, 50% carbon intensity reduction, and 20% water intensity reduction, plus net-zero emissions by 2050 [4]. Employee Retention (1/2): Small 35-person corporate team with leadership stability — Briony Quinn has been with the company since 2007 (19 years), Justin Leonard promoted to President, and internal succession from CFO Donnelly to CEO demonstrates retention of institutional knowledge [2]. Insider Buying (0/2): No meaningful net insider buying reported; the 2024 CEO transition was internal promotion rather than conviction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DRH shows improving fundamentals with Q1 2026 revenue of $258.2M (+1.3% YoY) and net income of $14.5M ($0.07 EPS vs $0.04 prior year), with AFFO/share guidance of $1.15 for 2026 — a new company record reflecting 6.5% growth [1]. The balance sheet is conservatively leveraged at 3.5x net debt/EBITDA with a fully unsecured structure [1]. However, ROE remains weak at ~3% (typical for asset-heavy REIT with heavy depreciation), profit margin is only 8.6%, and the dividend remains well below pre-COVID levels ($0.36/year vs $0.50 in 2019), making the 5yr dividend growth CAGR negative on a pre-COVID comparison basis. Forward P/E of ~20x at current prices is reasonable but not cheap. Liquidity floor cleared: 2M avg volume x $11.15 = $22.3M daily turnover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DiamondRock plays a middle-of-the-road REIT game. The company demonstrates some infinite-game characteristics through sustainability commitments (GRESB #1, net-zero 2050), portfolio repositioning toward long-term leisure trends, and internal leadership succession. However, the fundamentally financial purpose ('premium total shareholder returns'), commodity-like REIT business model, and dividend still below pre-COVID levels reflect a practical operator rather than an organization animated by a transformative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DRH articulates purpose around 'creating premium total shareholder returns through rigorous capital allocation and innovative asset management' — a purely financial goal that Sinek would classify as a finite objective, not a Just Cause [2]. The sustainability overlay (GRESB #1, net-zero 2050) adds a longer-term dimension, but 'maximize shareholder returns with good ESG' is not a vision of a future state so appealing that people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35-person corporate team shows leadership stability with Briony Quinn's 19-year tenure, Justin Leonard's promotion to President, and the internal CFO-to-CEO succession of Jeffrey Donnelly [2]. The small team size likely creates personal relationships and institutional knowledge sharing. However, Troy Furbay's departure as CIO during the 2024 reorganization and the general difficulty of assessing a 35-person team culture limit confidence in scoring higher.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DRH frames Host Hotels, Park Hotels, Pebblebrook, or other lodging REITs as worthy rivals whose strengths reveal DRH's weaknesses. Investor communications focus on portfolio quality, capital returns, and RevPAR performance rather than competitive learning or acknowledgment of peer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DRH meaningfully repositioned its portfolio post-COVID, shifting concentration from urban hotels toward premium leisure and resort properties to capture secular leisure travel demand [1]. Capital recycling sold lower-RevPAR assets and reinvested in higher-quality destinations. This represents genuine strategic evolution, though the business model (own branded hotels) is unchanged and the adaptation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COVID-era dividend cut to $0.01/quarter preserved the balance sheet at significant cost to income-investor trust, demonstrating willingness to sacrifice near-term shareholder satisfaction for long-term financial durability [3]. Maintaining a fully unsecured balance sheet at 3.5x net debt/EBITDA when peers operate at higher leverage shows capital discipline. However, the slow dividend recovery (still 28% below 2019 levels four years later) suggests conservatism rather than bold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DiamondRock Hospitality delivered Q1 2026 revenue of $258.2M (+1.3% YoY) with AFFO/share guidance of $1.15 for 2026 representing a new company record and 6.5% growth, driven by portfolio RevPAR of $190.01 and Total RevPAR of $298.95 [1]. The conservatively leveraged balance sheet (3.5x net debt/EBITDA, fully unsecured) provides acquisition optionality, and the 12.5% dividend increase to $0.09/quarter signals management confidence in sustained earnings growth [1][3]. The GRESB #1 ranking and ISS ESG Prime Status position the company as a sustainability leader among hospitality REITs [4]. Physical hotel ownership is structurally insulated from AI disruption, and the leisure-focused portfolio benefits from secular post-COVID travel demand shifts.</w:t>
      </w:r>
    </w:p>
    <w:p>
      <w:pPr>
        <w:spacing w:after="120"/>
      </w:pPr>
      <w:r>
        <w:rPr>
          <w:rFonts w:ascii="Calibri" w:hAnsi="Calibri"/>
          <w:b w:val="0"/>
          <w:color w:val="3A4A28"/>
          <w:sz w:val="20"/>
        </w:rPr>
        <w:t>The bear case centers on anemic top-line growth, weak traditional equity returns, and a dividend still well below pre-COVID levels. Revenue grew only 1.3% in Q1 2026 and was flat-to-negative throughout 2025, yet the stock trades at 22x trailing earnings [1][3]. ROE of ~3% reflects the REIT's asset-heavy, depreciation-laden structure, making traditional equity return metrics unfavorable. The $0.36 annual dividend remains 28% below the pre-COVID $0.50 level (2019), with 5-year dividend growth CAGR negative due to the COVID suspension. DRH's 35-person team depends entirely on third-party operators (Marriott, Hilton, Hyatt) for brand positioning, technology deployment, and AI-driven revenue management — the REIT captures only asset-owner economics without operational control. Any consumer spending slowdown in leisure travel would pressure RevPAR and valuation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AFFO/share of $1.15 for 2026 represents a new company record with 6.5% growth, signaling structural operational improvement beyond mere recovery [1]</w:t>
      </w:r>
    </w:p>
    <w:p>
      <w:pPr>
        <w:spacing w:before="40" w:after="40"/>
        <w:ind w:left="283"/>
      </w:pPr>
      <w:r>
        <w:rPr>
          <w:rFonts w:ascii="Calibri" w:hAnsi="Calibri"/>
          <w:b/>
          <w:color w:val="4A6B25"/>
          <w:sz w:val="20"/>
        </w:rPr>
        <w:t xml:space="preserve">2. </w:t>
      </w:r>
      <w:r>
        <w:rPr>
          <w:rFonts w:ascii="Calibri" w:hAnsi="Calibri"/>
          <w:b w:val="0"/>
          <w:color w:val="3A4A28"/>
          <w:sz w:val="20"/>
        </w:rPr>
        <w:t>Fully unsecured balance sheet at 3.5x net debt/EBITDA creates optionality for accretive portfolio expansion during potential market dislocations</w:t>
      </w:r>
    </w:p>
    <w:p>
      <w:pPr>
        <w:spacing w:before="40" w:after="40"/>
        <w:ind w:left="283"/>
      </w:pPr>
      <w:r>
        <w:rPr>
          <w:rFonts w:ascii="Calibri" w:hAnsi="Calibri"/>
          <w:b/>
          <w:color w:val="4A6B25"/>
          <w:sz w:val="20"/>
        </w:rPr>
        <w:t xml:space="preserve">3. </w:t>
      </w:r>
      <w:r>
        <w:rPr>
          <w:rFonts w:ascii="Calibri" w:hAnsi="Calibri"/>
          <w:b w:val="0"/>
          <w:color w:val="3A4A28"/>
          <w:sz w:val="20"/>
        </w:rPr>
        <w:t>Leisure-destination portfolio concentration benefits from secular shift in consumer spending from goods to experiences, with premium resort properties commanding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of $0.36/year remains 28% below the 2019 pre-COVID level of $0.50, and GAAP-based payout ratio of 72% constrains near-term growth capacity [3]</w:t>
      </w:r>
    </w:p>
    <w:p>
      <w:pPr>
        <w:spacing w:before="40" w:after="40"/>
        <w:ind w:left="283"/>
      </w:pPr>
      <w:r>
        <w:rPr>
          <w:rFonts w:ascii="Calibri" w:hAnsi="Calibri"/>
          <w:b/>
          <w:color w:val="4A6B25"/>
          <w:sz w:val="20"/>
        </w:rPr>
        <w:t xml:space="preserve">2. </w:t>
      </w:r>
      <w:r>
        <w:rPr>
          <w:rFonts w:ascii="Calibri" w:hAnsi="Calibri"/>
          <w:b w:val="0"/>
          <w:color w:val="3A4A28"/>
          <w:sz w:val="20"/>
        </w:rPr>
        <w:t>Revenue grew only 1.3% in Q1 2026 and was flat-to-negative throughout 2025 — any leisure travel softening from consumer spending weakness would compress both earnings and the 22x PE multiple [1]</w:t>
      </w:r>
    </w:p>
    <w:p>
      <w:pPr>
        <w:spacing w:before="40" w:after="40"/>
        <w:ind w:left="283"/>
      </w:pPr>
      <w:r>
        <w:rPr>
          <w:rFonts w:ascii="Calibri" w:hAnsi="Calibri"/>
          <w:b/>
          <w:color w:val="4A6B25"/>
          <w:sz w:val="20"/>
        </w:rPr>
        <w:t xml:space="preserve">3. </w:t>
      </w:r>
      <w:r>
        <w:rPr>
          <w:rFonts w:ascii="Calibri" w:hAnsi="Calibri"/>
          <w:b w:val="0"/>
          <w:color w:val="3A4A28"/>
          <w:sz w:val="20"/>
        </w:rPr>
        <w:t>Small 35-employee REIT entirely dependent on third-party operators for brand, technology, AI revenue management, and guest experience — DRH captures only asset-owner returns without operational innovation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Hotel REIT ownership is a physical-asset business that AI cannot replace — guests require physical rooms, beds, food service, and in-person hospitality experiences [1]. Lodging demand is driven by travel, tourism, and business meetings that are irreducibly physical-world activities. AI serves as an operational efficiency enabler in hospitality (dynamic pricing, revenue management, chatbot concierges, housekeeping optimization) rather than a substitution threat. Indirect risks exist: AI-powered video conferencing could reduce some business travel, and AI booking agents could compress OTA economics. But core leisure demand — DRH's primary focus — is structurally AI-resilient as experiences cannot be digitized. AI Opportunity (0/1): DRH itself generates no direct AI revenue — brand partners Marriott, Hilton, and Hyatt capture AI-enabled revenue management benefits; DRH participates passively as a property owner benefiting from operator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DiamondRock Hospitality Q1 2026 Earnings Release — Revenue $258.2M (+1.3%), AFFO $1.15 Guidance, SEC 10-Q, May 2026</w:t>
      </w:r>
    </w:p>
    <w:p>
      <w:pPr>
        <w:spacing w:before="20" w:after="20"/>
        <w:ind w:left="170"/>
      </w:pPr>
      <w:r>
        <w:rPr>
          <w:rFonts w:ascii="Calibri" w:hAnsi="Calibri"/>
          <w:b/>
          <w:color w:val="4A6B25"/>
          <w:sz w:val="15"/>
        </w:rPr>
        <w:t xml:space="preserve">2. </w:t>
      </w:r>
      <w:r>
        <w:rPr>
          <w:rFonts w:ascii="Calibri" w:hAnsi="Calibri"/>
          <w:b w:val="0"/>
          <w:color w:val="3A4A28"/>
          <w:sz w:val="17"/>
        </w:rPr>
        <w:t>DiamondRock Hospitality Leadership Changes and Simplified Organizational Structure — PRNewswire, April 2024</w:t>
      </w:r>
    </w:p>
    <w:p>
      <w:pPr>
        <w:spacing w:before="20" w:after="20"/>
        <w:ind w:left="170"/>
      </w:pPr>
      <w:r>
        <w:rPr>
          <w:rFonts w:ascii="Calibri" w:hAnsi="Calibri"/>
          <w:b/>
          <w:color w:val="4A6B25"/>
          <w:sz w:val="15"/>
        </w:rPr>
        <w:t xml:space="preserve">3. </w:t>
      </w:r>
      <w:r>
        <w:rPr>
          <w:rFonts w:ascii="Calibri" w:hAnsi="Calibri"/>
          <w:b w:val="0"/>
          <w:color w:val="3A4A28"/>
          <w:sz w:val="17"/>
        </w:rPr>
        <w:t>Yahoo Finance / MarketBeat — DRH Key Statistics, $11.15 Price, 3.23% Yield, 22.1x PE,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DiamondRock Hospitality 2024 Corporate Responsibility Report — GRESB #1, ISS ESG Prime Status, Net-Zero 2050</w:t>
      </w:r>
    </w:p>
    <w:p>
      <w:pPr>
        <w:spacing w:before="20" w:after="20"/>
        <w:ind w:left="170"/>
      </w:pPr>
      <w:r>
        <w:rPr>
          <w:rFonts w:ascii="Calibri" w:hAnsi="Calibri"/>
          <w:b/>
          <w:color w:val="4A6B25"/>
          <w:sz w:val="15"/>
        </w:rPr>
        <w:t xml:space="preserve">5. </w:t>
      </w:r>
      <w:r>
        <w:rPr>
          <w:rFonts w:ascii="Calibri" w:hAnsi="Calibri"/>
          <w:b w:val="0"/>
          <w:color w:val="3A4A28"/>
          <w:sz w:val="17"/>
        </w:rPr>
        <w:t>Nareit — DiamondRock Remains Committed to Conserving Resources, 2026 Leader in the Light Award</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