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DRVN</w:t>
      </w:r>
      <w:r>
        <w:rPr>
          <w:rFonts w:ascii="Calibri" w:hAnsi="Calibri"/>
          <w:b/>
          <w:color w:val="1A2010"/>
          <w:sz w:val="40"/>
        </w:rPr>
        <w:t xml:space="preserve">  Driven Brands Holdings Inc.</w:t>
      </w:r>
    </w:p>
    <w:p>
      <w:pPr>
        <w:spacing w:after="120"/>
      </w:pPr>
      <w:r>
        <w:rPr>
          <w:rFonts w:ascii="Calibri" w:hAnsi="Calibri"/>
          <w:b/>
          <w:color w:val="6E8450"/>
          <w:sz w:val="18"/>
        </w:rPr>
        <w:t>GROWTH SLEEVE · 2026-07-27 · Inspire: 17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&amp; Truck Dealerships · NASDAQ · United States</w:t>
      </w:r>
    </w:p>
    <w:p>
      <w:pPr>
        <w:spacing w:after="80"/>
      </w:pPr>
      <w:r>
        <w:rPr>
          <w:rFonts w:ascii="Calibri" w:hAnsi="Calibri"/>
          <w:b w:val="0"/>
          <w:color w:val="3A4A28"/>
          <w:sz w:val="20"/>
        </w:rPr>
        <w:t>Driven Brands is the largest automotive services company in North America, operating over 5,100 locations across 13 countries under brands including Take 5 Oil Change, Meineke, MAACO, CARSTAR, and Auto Glass Now. The company provides paint, collision, glass, repair, oil change, and maintenance services through franchise, company-operated, and independently-operated locations. Q1 2026 revenue was $484.4M (+8% YoY) with adjusted EPS of $0.30 beating expectations. The company faces ongoing securities fraud litigation related to 2023-2025 financial restatements.</w:t>
      </w:r>
    </w:p>
    <w:p>
      <w:r>
        <w:rPr>
          <w:rFonts w:ascii="Calibri" w:hAnsi="Calibri"/>
          <w:b/>
          <w:color w:val="6E8450"/>
          <w:sz w:val="18"/>
        </w:rPr>
        <w:t>10,700 Employees · https://www.drivenbrands.com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Driven Brands expanded its store footprint with a 5% increase in store count YoY and delivered Q1 2026 system-wide sales of $1.6B (+6%), but this represents incremental franchise growth rather than transformative innovation [1]. The company's growth has been acquisition-driven (Take 5, CARSTAR, Auto Glass Now) rather than product innovation, and the accounting restatement crisis has consumed management bandwidth. AI Deployment (0/2): No evidence of AI-powered products or quantified AI-driven efficiency gains. CIO Karen Conrad brings digital transformation experience but no specific AI deployments have been disclosed [2]. Market Share (1/2): Driven Brands is the largest automotive services company in North America by store count with 5,100+ locations, giving it scale advantages, but the market remains highly fragmented with independent shops dominating local markets [1]. Product Pipeline (1/2): Take 5 Oil Change is the primary growth engine with 4.5% same-store sales growth in Q1 2026 and a clear pathway toward 2,000+ locations, providing tangible unit economics and pipeline visibility [1]. Full-year guidance targets 160-190 net new units. R&amp;D Intensity (0/1): Franchise-based automotive services business with minimal formal R&amp;D spending as a percentage of revenue. Technology investment focuses on operational franchise systems rather than product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Driven Brands positions itself as focused on 'getting drivers back on the road with confidence' and being the biggest automotive services platform — a generic growth aspiration interchangeable with any multi-unit service operator [2]. No articulated purpose beyond scale and shareholder returns. Community Impact (0/2): No evidence of distinctive charitable programs, community foundations, or measurable social investment beyond standard corporate practices. The Inspire Insight score of 17 (MIXED) with only one positive attribution (Hiring Ethics) reflects limited social impact visibility. Employee Retention (1/2): CEO Daniel Rivera's internal promotion from CIO to Group President to CEO over 13 years demonstrates some organizational commitment and career development pathway, and the appointment of Chief People Officer Nick Vincent suggests investment in culture [2]. However, prior CEO Fitzpatrick's departure to Subway in May 2025, followed by the accounting scandal disclosure, creates significant leadership instability. Insider Buying (0/2): Net insider selling — Officer O'Melia sold $750K in January 2026 and departing CEO Fitzpatrick sold $3.4M in September 2025 [3]. No meaningful open-market purchases by current executives observed.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The financial profile shows deep-value pricing offset by severe balance sheet stress and negative GAAP profitability. D/E of 347% exceeds the 300% floor, scoring 0 — the company carries $2.76B total debt against $162M cash [5]. ROE of -27.3% is below the 0% floor due to net losses from goodwill impairments and accounting restatement charges, scoring 0 [5]. Profit margin of -8.12% (GAAP) is also at floor. However, revenue growth is solid: Q1 2026 revenue of $484.4M grew 8% YoY (0.93) and 5-year revenue CAGR is approximately 9% (0.93 at 2x weight) driven by franchise expansion [1]. Forward P/E of 11.79x on adjusted earnings scores 1.0 — deeply discounted [5]. Estimated PEG of ~0.65 (based on 11.79x forward P/E and ~18% adjusted EPS growth) scores 1.0 (2x weight). Weighted sum 5.80/10 = 6. Liquidity: ~$17.2M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Driven Brands operates with a predominantly finite mindset focused on rapid scale through acquisitions and unit count growth. The accounting restatement crisis spanning 2023-2025 reveals systemic governance failures — material weaknesses in internal controls suggest a culture that prioritized growth metrics over organizational integrity [4]. Leadership instability (CEO Fitzpatrick's departure to Subway in May 2025, succeeded by Rivera) and the absence of a purpose beyond being 'the biggest' place this firmly in finite territory. The securities fraud class action lawsuits underscore the governance breakdown.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Driven Brands' stated purpose centers on being the largest automotive services company in North America — a finite goal focused on scale and market position rather than a vision of a better future [2]. 'Getting drivers back on the road with confidence' describes a service, not a Just Cause. The mission lacks the idealism, inclusivity, and service-orientation that Sinek requires. The accounting fraud and subsequent securities lawsuits further demonstrate that financial metrics — not an enduring purpose — drive decision-making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accounting restatement spanning multiple years — with revenue overstatements, expense understatements, and unreconciled cash balances — reveals a fundamental breakdown in organizational trust and accountability [4]. When internal controls fail systematically, it indicates either a fear-based environment where employees cannot raise concerns, or a culture of deliberate obfuscation. CEO Fitzpatrick's departure before the full scope of accounting issues became public, followed by his $3.4M stock sale, undermines leadership trust [3]. Glassdoor rating of 2.6/5 with reviews describing 'upper management completely disconnected from the rest of the company' corroborates a low-trust environment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Driven Brands' competitive language centers on being 'the largest' and 'the biggest' automotive services platform — finite competitive framing focused on winning through scale rather than improving through rivalry [2]. No evidence of management referencing competitors' strengths as motivation for self-improvement. The acquisition-driven strategy (CARSTAR, Take 5, Auto Glass Now) reflects a 'buy to win' rather than 'learn to improve'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Driven Brands has shown incremental flexibility by expanding from paint and collision (MAACO, CARSTAR) into oil change (Take 5), car wash, and auto glass through strategic acquisitions, evolving from a single-category operator to a multi-service platform [1]. Take 5 Oil Change has emerged as the primary growth engine with 4.5% same-store sales growth, representing a meaningful strategic shift toward express maintenance. However, these were additive acquisitions rather than transformative pivots — the core franchise model for automotive services has not 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accounting restatement crisis — with material misstatements spanning 2023-2025 including revenue overstatements and expense understatements — represents the opposite of courageous leadership [4]. Management failed to identify material weaknesses in internal controls for years, and the prior CEO departed before the full scope became public. The company's current focus on deleveraging from 3.2x to 3.0x net leverage is prudent but reactive, not courageous. No evidence of leadership sacrificing short-term results for long-term organizational integrity.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Driven Brands is the largest automotive services platform in North America with 5,100+ locations, and Q1 2026 demonstrated the underlying business is executing: revenue grew 8% to $484.4M, adjusted EPS of $0.30 beat expectations by $0.02, and Take 5 Oil Change delivered 4.5% same-store sales growth with 5% store count expansion [1]. The non-discretionary nature of vehicle maintenance (12.6-year average US vehicle age), asset-light franchise model, and deeply discounted Forward P/E of 11.79x with estimated PEG of 0.65 offer compelling value if the company can resolve its governance issues [5]. The company is actively deleveraging, reducing net leverage from 3.5x to 3.2x with a year-end 3.0x target, and guiding for full-year revenue of $1.95-$2.05B with adjusted EBITDA of $430-$460M [1]. AI immunity (score 8) provides structural resilience.</w:t>
      </w:r>
    </w:p>
    <w:p>
      <w:pPr>
        <w:spacing w:after="120"/>
      </w:pPr>
      <w:r>
        <w:rPr>
          <w:rFonts w:ascii="Calibri" w:hAnsi="Calibri"/>
          <w:b w:val="0"/>
          <w:color w:val="3A4A28"/>
          <w:sz w:val="20"/>
        </w:rPr>
        <w:t>The bear case is substantial and centers on governance failure. Driven Brands disclosed in February 2026 that it must restate financial statements for FY2023-2024 and quarterly results through September 2025 due to pervasive accounting errors including revenue overstatements, expense understatements, and unreconciled cash balances — the stock dropped approximately 40% on the disclosure [4]. Multiple securities fraud class action lawsuits have been filed covering the May 2023 to February 2026 period, creating material litigation liability. D/E of 347% with $2.76B total debt against $162M cash represents dangerously high leverage, and GAAP metrics remain ugly: ROE of -27.3% and profit margin of -8.12% from impairment charges and restatement-related costs [5]. The Inspire score of just 17 (MIXED) with only 'Hiring Ethics' as a positive attribution reflects minimal faith-alignment appeal. The departing CEO's $3.4M stock sale and ongoing insider selling undermine confidence. Until restated financials are filed and SEC scrutiny concludes, fundamental uncertainty about the true financial picture persists.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Take 5 Oil Change delivering 4.5% same-store sales growth with 5% store count expansion in Q1 2026, providing the highest-margin, fastest-growing segment with a clear pathway to 2,000+ locations [1]</w:t>
      </w:r>
    </w:p>
    <w:p>
      <w:pPr>
        <w:spacing w:before="40" w:after="40"/>
        <w:ind w:left="283"/>
      </w:pPr>
      <w:r>
        <w:rPr>
          <w:rFonts w:ascii="Calibri" w:hAnsi="Calibri"/>
          <w:b/>
          <w:color w:val="4A6B25"/>
          <w:sz w:val="20"/>
        </w:rPr>
        <w:t xml:space="preserve">2. </w:t>
      </w:r>
      <w:r>
        <w:rPr>
          <w:rFonts w:ascii="Calibri" w:hAnsi="Calibri"/>
          <w:b w:val="0"/>
          <w:color w:val="3A4A28"/>
          <w:sz w:val="20"/>
        </w:rPr>
        <w:t>Completion of financial restatements for FY2023-2025 could remove the uncertainty overhang and allow the stock to re-rate from its deeply discounted 11.8x forward P/E [4]</w:t>
      </w:r>
    </w:p>
    <w:p>
      <w:pPr>
        <w:spacing w:before="40" w:after="40"/>
        <w:ind w:left="283"/>
      </w:pPr>
      <w:r>
        <w:rPr>
          <w:rFonts w:ascii="Calibri" w:hAnsi="Calibri"/>
          <w:b/>
          <w:color w:val="4A6B25"/>
          <w:sz w:val="20"/>
        </w:rPr>
        <w:t xml:space="preserve">3. </w:t>
      </w:r>
      <w:r>
        <w:rPr>
          <w:rFonts w:ascii="Calibri" w:hAnsi="Calibri"/>
          <w:b w:val="0"/>
          <w:color w:val="3A4A28"/>
          <w:sz w:val="20"/>
        </w:rPr>
        <w:t>Deleveraging progress from 3.2x to targeted 3.0x net leverage by year-end 2026, with full-year adjusted EBITDA guidance of $430-$460M supporting debt reduction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Financial restatement could reveal larger-than-expected accounting irregularities or trigger SEC enforcement actions beyond the existing securities fraud class action lawsuits covering May 2023 to February 2026 [4]</w:t>
      </w:r>
    </w:p>
    <w:p>
      <w:pPr>
        <w:spacing w:before="40" w:after="40"/>
        <w:ind w:left="283"/>
      </w:pPr>
      <w:r>
        <w:rPr>
          <w:rFonts w:ascii="Calibri" w:hAnsi="Calibri"/>
          <w:b/>
          <w:color w:val="4A6B25"/>
          <w:sz w:val="20"/>
        </w:rPr>
        <w:t xml:space="preserve">2. </w:t>
      </w:r>
      <w:r>
        <w:rPr>
          <w:rFonts w:ascii="Calibri" w:hAnsi="Calibri"/>
          <w:b w:val="0"/>
          <w:color w:val="3A4A28"/>
          <w:sz w:val="20"/>
        </w:rPr>
        <w:t>D/E of 347% with $2.76B total debt creates refinancing risk — if credit markets tighten or covenant tests are impacted by restated financials, the debt load could become unsustainable [5]</w:t>
      </w:r>
    </w:p>
    <w:p>
      <w:pPr>
        <w:spacing w:before="40" w:after="40"/>
        <w:ind w:left="283"/>
      </w:pPr>
      <w:r>
        <w:rPr>
          <w:rFonts w:ascii="Calibri" w:hAnsi="Calibri"/>
          <w:b/>
          <w:color w:val="4A6B25"/>
          <w:sz w:val="20"/>
        </w:rPr>
        <w:t xml:space="preserve">3. </w:t>
      </w:r>
      <w:r>
        <w:rPr>
          <w:rFonts w:ascii="Calibri" w:hAnsi="Calibri"/>
          <w:b w:val="0"/>
          <w:color w:val="3A4A28"/>
          <w:sz w:val="20"/>
        </w:rPr>
        <w:t>Governance failure erodes investor trust — material weaknesses in internal controls spanning years, CEO departure, and net insider selling create a credibility deficit that may take years to rebuild, depressing the stock's valuation multiple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Driven Brands' core business — physical automotive services including oil changes, collision repair, paint jobs, glass replacement, and car maintenance — is structurally immune to AI disruption [1]. Vehicles require hands-on maintenance regardless of AI advancement, and the fragmented nature of automotive aftermarket services makes AI substitution impossible. The growing US vehicle fleet age (average 12.6 years) and increasing vehicle complexity actually drive demand for professional service providers. Take 5 Oil Change's 4.5% same-store sales growth in Q1 2026 demonstrates continued demand resilience [1]. No analysts have flagged AI as a disruption risk to automotive services. The slight deduction from maximum immune status reflects long-term risks from autonomous vehicles potentially reducing collision frequency. AI Opportunity (0/1): No meaningful AI revenue or AI products. The company has not deployed AI-powered services to customers or reported quantifiable AI-driven operational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Driven Brands Q1 2026 Earnings Release — $484.4M Revenue (+8% YoY), $0.30 Adjusted EPS (Beat), $104.1M Adjusted EBITDA, Take 5 SSS +4.5%, June 2026</w:t>
      </w:r>
    </w:p>
    <w:p>
      <w:pPr>
        <w:spacing w:before="20" w:after="20"/>
        <w:ind w:left="170"/>
      </w:pPr>
      <w:r>
        <w:rPr>
          <w:rFonts w:ascii="Calibri" w:hAnsi="Calibri"/>
          <w:b/>
          <w:color w:val="4A6B25"/>
          <w:sz w:val="15"/>
        </w:rPr>
        <w:t xml:space="preserve">2. </w:t>
      </w:r>
      <w:r>
        <w:rPr>
          <w:rFonts w:ascii="Calibri" w:hAnsi="Calibri"/>
          <w:b w:val="0"/>
          <w:color w:val="3A4A28"/>
          <w:sz w:val="17"/>
        </w:rPr>
        <w:t>Driven Brands Investor Relations — Executive Management (CEO Rivera, CIO Conrad, CPO Vincent), Company Overview, Glassdoor Reviews (2.6/5),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DRVN Insider Transactions: O'Melia $750K Sold (Jan 2026), Fitzpatrick $3.4M Sold (Sep 2025),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PR Newswire / Hagens Berman — DRVN Securities Fraud Class Action Lawsuit, Accounting Restatement Disclosure February 25, 2026, Filings Through May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Yahoo Finance — DRVN Key Statistics: Forward P/E 11.79x, D/E 347%, ROE -27.29%, Profit Margin -8.12%,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