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DXC</w:t>
      </w:r>
      <w:r>
        <w:rPr>
          <w:rFonts w:ascii="Calibri" w:hAnsi="Calibri"/>
          <w:b/>
          <w:color w:val="1A2010"/>
          <w:sz w:val="40"/>
        </w:rPr>
        <w:t xml:space="preserve">  DXC Technology Company</w:t>
      </w:r>
    </w:p>
    <w:p>
      <w:pPr>
        <w:spacing w:after="120"/>
      </w:pPr>
      <w:r>
        <w:rPr>
          <w:rFonts w:ascii="Calibri" w:hAnsi="Calibri"/>
          <w:b/>
          <w:color w:val="6E8450"/>
          <w:sz w:val="18"/>
        </w:rPr>
        <w:t>GROWTH SLEEVE · 2026-07-14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DXC Technology Company is a global IT services provider specializing in consulting, engineering, cloud infrastructure, and insurance software solutions. Formed in 2017 from the merger of Computer Sciences Corporation and Hewlett Packard Enterprise Services, DXC operates across three segments: Consulting and Engineering Services, Global Infrastructure Services, and Insurance Software and Services. The company serves enterprise clients in over 70 countries with approximately 115,000 employees. Headquartered in Ashburn, Virginia, with a market cap of approximately $1.57B.</w:t>
      </w:r>
    </w:p>
    <w:p>
      <w:r>
        <w:rPr>
          <w:rFonts w:ascii="Calibri" w:hAnsi="Calibri"/>
          <w:b/>
          <w:color w:val="6E8450"/>
          <w:sz w:val="18"/>
        </w:rPr>
        <w:t>115,000 Employees · https://www.dxc.com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DXC launched DXC OASIS to reimagine managed services for the AI era and established a Global AI Center of Competence with hubs in Bulgaria, India, Philippines, Spain, and Poland, but these represent incremental service evolution rather than transformative business model innovation [1][3]. AI Deployment (1/2): DXC has an active AI deployment program including a partnership with Anthropic for AI integration, AI agents for sales, HR, finance, and IT productivity, and was named a Leader in AI/ML in the ISG 2024 AWS Ecosystem Partners report, though no specific revenue impact has been quantified [3]. Market Share (0/2): DXC is losing market position with organic revenue declining 4.2-4.3% consistently across FY2026 quarters, indicating share loss to more agile competitors like Accenture, Infosys, and cloud-native providers [1]. Product Pipeline (1/2): DXC OASIS and the AI Center of Competence provide some forward visibility, but timelines and revenue targets remain vague. R&amp;D Intensity (0/1): IT services companies typically invest minimally in R&amp;D relative to revenue, and DXC has not disclosed above-peer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DXC's tagline "Impossible Delivered" is marketing-driven and interchangeable with any IT services competitor; it does not articulate a distinctive purpose or vision for the future [3]. The company does not have a publicly articulated Just Cause that shapes strategic decisions. Community Impact (0/2): No evidence of distinctive charitable programs or community investment beyond standard corporate social responsibility was identified. Employee Retention (1/2): DXC's leadership team scored A+ from employees on Comparably (Top 5% of companies with 10,000+ employees) and the executive team received an average score of 84, suggesting adequate organizational stability despite multiple CEO transitions since 2017 [2]. Insider Buying (0/2): No evidence of meaningful net insider buying in the last 12 months was identified under new CEO Raul Fernandez.</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DXC trades at an extremely cheap forward P/E of 3.79x and forward PEG of 0.31x, reflecting deep value pricing, but the GAAP fundamentals are severely impaired [1][4]. Net income collapsed 95% YoY to just $18M on $12.64B revenue (0.22% profit margin), driven by significant write-downs and restructuring charges. ROE of 0.84% is near-zero on a GAAP basis, though non-GAAP adjusted EPS of approximately $3.48 for FY2026 tells a very different story [1]. Debt-to-equity of 132% is elevated but manageable given $1.04B in free cash flow generation. The five-year revenue CAGR of approximately -6.6% reflects persistent organic decline from $17.7B in FY2021 to $12.64B in FY2026. Altman Z-Score of 1.06 places the company in the financial distress zone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DXC operates with a predominantly finite mindset, cycling through CEOs (four since 2017) and restructuring programs without a consistent long-term vision. The company was born from a defensive merger of two declining legacy IT services companies, and its strategy has been reactive rather than purpose-driven. Sinek would observe that DXC optimizes for quarterly metrics and cost reduction rather than building capabilities for a future it wants to create.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DXC's purpose of delivering technology solutions for enterprises is commercially oriented with no articulated vision of a better future state. "Impossible Delivered" is a marketing slogan, not a cause that inspires sacrifice or long-term commitment [3]. The company has cycled through multiple strategic narratives since its 2017 formation without establishing a durable north star.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Despite four CEO transitions since 2017 and ongoing restructuring, DXC's leadership team earned an A+ Comparably score from employees, placing it in the top 5% of large companies [2]. The 115,000-employee workforce has shown reasonable stability, and new CEO Raul Fernandez (effective February 2024) has been emphasizing an employee-first culture. However, the constant leadership churn and restructuring create organizational uncertainty that undermines deep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DXC's competitive positioning is defensive, focused on retaining existing clients against share loss to Accenture, Infosys, and cloud-native competitors. No evidence of management referencing competitors' strengths as motivation to improve or adopting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DXC has attempted to pivot from legacy IT outsourcing toward AI, cloud, and digital services through initiatives like the Global AI Center of Competence and DXC OASIS platform [3]. This represents meaningful strategic adaptation, though the execution has been slow and organic revenue continues to decline 4% annually, suggesting the pivot is incomplete.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DXC leadership making costly long-term bets in service of a purpose. The company's strategy has been characterized by cost optimization, divestitures, and restructuring rather than bold investments in future capabilities. Each new CEO has announced a new transformation plan, but none has demonstrated the willingness to sacrifice short-term results for a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DXC Technology trades at a deeply discounted forward P/E of 3.79x and forward PEG of 0.31x, reflecting the market's skepticism about a turnaround under CEO Raul Fernandez [1][4]. Non-GAAP adjusted EPS of approximately $3.48 for FY2026 and robust free cash flow of $1.04B significantly exceed the $18M GAAP net income, suggesting the underlying business is more profitable than headline numbers indicate [1]. Q3 FY2026 showed sequential improvement with bookings of $3.6B (1.12x book-to-bill), adjusted EBIT margin expanding to 8.2%, and non-GAAP EPS growing 4.3% YoY, signaling stabilization [1]. The AI Center of Competence and Anthropic partnership position DXC to participate in enterprise AI adoption.</w:t>
      </w:r>
    </w:p>
    <w:p>
      <w:pPr>
        <w:spacing w:after="120"/>
      </w:pPr>
      <w:r>
        <w:rPr>
          <w:rFonts w:ascii="Calibri" w:hAnsi="Calibri"/>
          <w:b w:val="0"/>
          <w:color w:val="3A4A28"/>
          <w:sz w:val="20"/>
        </w:rPr>
        <w:t>The bear case is compelling: DXC has failed to achieve organic revenue growth for over five years, with consistent 4% organic decline reflecting structural share loss to more innovative competitors [1]. The Altman Z-Score of 1.06 places the company in the financial distress zone, and the 132% debt-to-equity ratio limits strategic flexibility [4]. Four CEO transitions since 2017 have produced no lasting strategic direction, and the IT services labor-arbitrage model faces existential threat from AI automation that could commoditize large portions of DXC's service delivery. GAAP profit margin of 0.22% leaves zero buffer against execution missteps, and the $1.57B market cap on $12.64B revenue implies the market sees terminal value risk in the current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Raul Fernandez achieving organic revenue stabilization (flattening the 4% annual decline) through AI services and cloud migration wins, which would trigger significant multiple expansion from the 3.79x forward P/E</w:t>
      </w:r>
    </w:p>
    <w:p>
      <w:pPr>
        <w:spacing w:before="40" w:after="40"/>
        <w:ind w:left="283"/>
      </w:pPr>
      <w:r>
        <w:rPr>
          <w:rFonts w:ascii="Calibri" w:hAnsi="Calibri"/>
          <w:b/>
          <w:color w:val="4A6B25"/>
          <w:sz w:val="20"/>
        </w:rPr>
        <w:t xml:space="preserve">2. </w:t>
      </w:r>
      <w:r>
        <w:rPr>
          <w:rFonts w:ascii="Calibri" w:hAnsi="Calibri"/>
          <w:b w:val="0"/>
          <w:color w:val="3A4A28"/>
          <w:sz w:val="20"/>
        </w:rPr>
        <w:t>AI Center of Competence and DXC OASIS platform gaining traction with enterprise clients, creating a new growth engine to offset legacy IT infrastructure decline</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from Q3 FY2026 levels (8.2% adjusted EBIT margin) driven by operational efficiency, AI-enabled automation, and higher-value service mix shift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organic revenue decline of 4% annually over the past five years with no clear inflection point, suggesting structural competitive displacement by Accenture, Infosys, and cloud-native providers</w:t>
      </w:r>
    </w:p>
    <w:p>
      <w:pPr>
        <w:spacing w:before="40" w:after="40"/>
        <w:ind w:left="283"/>
      </w:pPr>
      <w:r>
        <w:rPr>
          <w:rFonts w:ascii="Calibri" w:hAnsi="Calibri"/>
          <w:b/>
          <w:color w:val="4A6B25"/>
          <w:sz w:val="20"/>
        </w:rPr>
        <w:t xml:space="preserve">2. </w:t>
      </w:r>
      <w:r>
        <w:rPr>
          <w:rFonts w:ascii="Calibri" w:hAnsi="Calibri"/>
          <w:b w:val="0"/>
          <w:color w:val="3A4A28"/>
          <w:sz w:val="20"/>
        </w:rPr>
        <w:t>AI disruption of the IT services labor-arbitrage model could accelerate revenue decline as enterprise clients adopt AI coding assistants, autonomous infrastructure management, and GenAI tools that reduce demand for outsourced IT labor</w:t>
      </w:r>
    </w:p>
    <w:p>
      <w:pPr>
        <w:spacing w:before="40" w:after="40"/>
        <w:ind w:left="283"/>
      </w:pPr>
      <w:r>
        <w:rPr>
          <w:rFonts w:ascii="Calibri" w:hAnsi="Calibri"/>
          <w:b/>
          <w:color w:val="4A6B25"/>
          <w:sz w:val="20"/>
        </w:rPr>
        <w:t xml:space="preserve">3. </w:t>
      </w:r>
      <w:r>
        <w:rPr>
          <w:rFonts w:ascii="Calibri" w:hAnsi="Calibri"/>
          <w:b w:val="0"/>
          <w:color w:val="3A4A28"/>
          <w:sz w:val="20"/>
        </w:rPr>
        <w:t>Altman Z-Score of 1.06 indicates financial distress risk, and the 132% debt-to-equity ratio constrains strategic investment capacity needed for the AI pivot while GAAP profit margin of 0.22% provides no earnings buffer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DXC's core IT services business faces direct AI disruption risk across multiple revenue lines. Global Infrastructure Services, which includes help desk, data center management, and routine IT operations, is highly vulnerable to AI automation that can handle Tier 1-2 support tickets, monitor infrastructure, and auto-remediate issues [3]. The labor-arbitrage model underpinning offshore IT services is being disrupted as AI coding assistants and autonomous agents reduce the need for large human workforces. However, complex enterprise consulting, regulated industry solutions (insurance software), and legacy system migration provide some protection as they require deep domain expertise and human judgment. AI Opportunity (1/1): DXC is actively monetizing AI through its AI Center of Competence, Anthropic partnership, DXC OASIS platform, and AI-enhanced security operations, generating measurable revenue from enterprise AI adoption services even if total AI revenue is not separately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DXC Technology FY2026 Q1-Q3 Earnings Releases and Press Releases, SEC Filings, 2025-2026</w:t>
      </w:r>
    </w:p>
    <w:p>
      <w:pPr>
        <w:spacing w:before="20" w:after="20"/>
        <w:ind w:left="170"/>
      </w:pPr>
      <w:r>
        <w:rPr>
          <w:rFonts w:ascii="Calibri" w:hAnsi="Calibri"/>
          <w:b/>
          <w:color w:val="4A6B25"/>
          <w:sz w:val="15"/>
        </w:rPr>
        <w:t xml:space="preserve">2. </w:t>
      </w:r>
      <w:r>
        <w:rPr>
          <w:rFonts w:ascii="Calibri" w:hAnsi="Calibri"/>
          <w:b w:val="0"/>
          <w:color w:val="3A4A28"/>
          <w:sz w:val="17"/>
        </w:rPr>
        <w:t>Comparably — DXC Technology Leadership Team Ratings and Employee Reviews,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DXC Technology Corporate Website — AI Services, DXC OASIS, and AI Center of Competence Announcements,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DXC Key Statistics, Valuation,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DXC Quote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