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DYN</w:t>
      </w:r>
      <w:r>
        <w:rPr>
          <w:rFonts w:ascii="Calibri" w:hAnsi="Calibri"/>
          <w:b/>
          <w:color w:val="1A2010"/>
          <w:sz w:val="40"/>
        </w:rPr>
        <w:t xml:space="preserve">  Dyne Therapeutics, Inc.</w:t>
      </w:r>
    </w:p>
    <w:p>
      <w:pPr>
        <w:spacing w:after="120"/>
      </w:pPr>
      <w:r>
        <w:rPr>
          <w:rFonts w:ascii="Calibri" w:hAnsi="Calibri"/>
          <w:b/>
          <w:color w:val="6E8450"/>
          <w:sz w:val="18"/>
        </w:rPr>
        <w:t>GROWTH SLEEVE · 2026-07-15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Dyne Therapeutics is a clinical-stage biotechnology company focused on developing targeted therapeutics for patients with genetically driven neuromuscular diseases. The company's proprietary FORCE platform enables targeted delivery of oligonucleotide therapeutics to muscle and the central nervous system. Lead candidates include z-rostudirsen (DYN-251) for myotonic dystrophy type 1 (DM1) with a BLA submission targeted for Q2 2026 and potential launch in Q1 2027, and z-basivarsen for facioscapulohumeral muscular dystrophy (FSHD) advancing toward Phase 3. CEO John Cox joined in March 2024 from Bioverativ (Sanofi). Founded in 2018, headquartered in Waltham, Massachusetts.</w:t>
      </w:r>
    </w:p>
    <w:p>
      <w:r>
        <w:rPr>
          <w:rFonts w:ascii="Calibri" w:hAnsi="Calibri"/>
          <w:b/>
          <w:color w:val="6E8450"/>
          <w:sz w:val="18"/>
        </w:rPr>
        <w:t>400 Employees · https://www.dyne-tx.com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Dyne has advanced z-rostudirsen from discovery to BLA submission in under 8 years -- a meaningful achievement for a company founded in 2018. The FORCE platform represents a genuinely novel approach to targeted muscle delivery of oligonucleotide therapeutics, differentiated from Sarepta's legacy exon-skipping franchise [1][5]. The creation of a Chief Innovation Officer role (Oxana Beskrovnaya transitioning from CSO) signals commitment to platform-driven discovery [4]. AI Deployment (0/2): No AI-powered products or quantified AI-driven operational improvements disclosed. Dyne uses conventional biotech drug discovery and development methods. Market Share (1/2): Dyne is positioned as a potential first-in-class/best-in-class therapy for DM1, an indication with no approved disease-modifying treatment. The FORCE platform's targeted muscle delivery could establish a new standard of care if clinical results support approval [1][5]. However, no commercial presence exists yet. Product Pipeline (2/2): Specific pipeline with clear regulatory timelines: z-rostudirsen BLA targeted for Q2 2026 with potential launch Q1 2027; z-basivarsen advancing toward Phase 3 for FSHD with potential launch Q1 2028. FORCE platform extensibility into CNS and additional neuromuscular indications provides long-term pipeline engine [1][5]. R&amp;D Intensity (1/1): As a clinical-stage biotech, 100% of operating expenses are directed toward R&amp;D and clinical development. $120.9M quarterly burn rate reflects heavy investment in registrational programs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'Discovering and advancing innovative life-transforming therapeutics for people living with genetically driven neuromuscular diseases' is specific, patient-centered, and connects the company's work to meaningful human impact [4]. DM1 and FSHD are devastating diseases with high unmet need. The mission is thoughtful and differentiated from generic pharma/biotech positioning. Community &amp; Charitable Impact (0/2): No evidence of charitable foundation, community programs, or meaningful community investment beyond the inherent patient impact of rare disease drug development. Employee Retention &amp; Tenure (0/2): CEO John Cox joined March 2024 with average management tenure of approximately 1 year. Key leadership appointments (CMO, CCO, CHRO) were made in 2025-2026, indicating the leadership team is still being built [4]. No public employee retention or culture data available. Insider Buying (0/2): No specific net insider buying data identified in the last 12 months from available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clinical-stage biotech with infrastructure scored on available metrics only. Dyne has zero revenue, no earnings, and deeply negative ROE (~-55%) reflecting the clinical-stage burn profile [1][2]. Estimated D/E of approximately 5% scores well (near-zero debt with $972.2M cash as of Q1 2026), but this is the only positive metric -- ROE and profit margin both score at floor (0.0). All revenue growth metrics are null (not applicable for pre-revenue company). The $972.2M cash position provides runway into Q1 2028, which is a genuine strength not captured by the mechanical scoring [1]. Market cap of $3.91B at $23.30 reflects pipeline optionality rather than fundamentals. Liquidity is strong: 2M+ shares daily at $23.30 = $46.6M daily dollar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Dyne exhibits genuine purpose-driven characteristics through its focus on developing life-transforming therapies for devastating neuromuscular diseases. The FORCE platform is designed for multi-decade pipeline expansion, suggesting long-term thinking beyond individual product launches. However, the company is young (founded 2018) with a recently assembled leadership team (CEO since March 2024), limiting the evidence base for evaluating organizational resilience and trust. The dual-track BLA and Phase 3 strategy is ambitious and demonstrates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life-transforming therapies for patients with genetically driven neuromuscular diseases is a genuine, patient-centered cause. DM1 affects approximately 30,000 patients in the US with no approved disease-modifying therapy -- the unmet need is profound [1][5]. The FORCE platform was architected from inception for targeted muscle delivery, demonstrating intentional scientific vision. However, the company was founded only in 2018 and has not yet proven the cause through multi-decade execution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Key leadership appointments in 2025-2026 (CMO Doug Kerr, CCO Johanna Friedl-Naderer, CHRO Lucia Celona) suggest a deliberate build-out of a commercial-ready organization [4]. The creation of a Chief Innovation Officer role for the founding CSO (Oxana Beskrovnaya) shows thoughtful role evolution rather than displacement. CEO John Cox brings strong biotech pedigree from Bioverativ ($1.1B in sales, acquired by Sanofi). No negative cultural signals identified, but the team is too new to evaluate trust dynamics with confidence.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Dyne's competitive set is well-defined -- Sarepta Therapeutics (DMD), Avidity Biosciences (oligonucleotide conjugates), and Biogen/Ionis (SPINRAZA platform). The company positions z-rostudirsen as a 'next-generation' therapy relative to Sarepta's established franchise, using competitive strengths to sharpen its own differentiation rather than framing competition as warfare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FORCE platform has been extended from its original muscle-targeted delivery into CNS delivery applications, representing meaningful strategic evolution of the core technology [5]. The appointment of a Chief Innovation Officer to drive platform maximization beyond current indications suggests leadership is thinking about existential flexibility. However, the company has not yet faced the test of strategic adversity.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a BLA submission for z-rostudirsen while simultaneously advancing z-basivarsen toward Phase 3 is an ambitious dual-track strategy that requires significant capital commitment ($120.9M quarterly burn) [1]. Building commercial infrastructure pre-approval (CCO hire, commercial readiness investments) demonstrates confidence in the pipeline. CEO Cox's prior experience scaling Bioverativ to $1.1B before Sanofi acquisition suggests commercial execution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Dyne Therapeutics is approaching a transformational inflection with z-rostudirsen BLA submission targeted for Q2 2026 and potential launch in Q1 2027 for DM1, an indication with ~30,000 US patients and no approved disease-modifying therapy [1][5]. The FORCE platform's targeted muscle delivery technology could establish a new standard of care, with z-basivarsen advancing toward Phase 3 for FSHD as a second major program. Cash of $972.2M funds operations into Q1 2028, providing sufficient runway through potential commercialization [1]. CEO John Cox brings rare disease commercialization experience from Bioverativ ($1.1B revenue, Sanofi acquisition), and key commercial/medical hires signal readiness for launch [4]. Market cap of $3.91B reflects pipeline optionality with 52-week high of $25.00 approaching, driven by clinical momentum.</w:t>
      </w:r>
    </w:p>
    <w:p>
      <w:pPr>
        <w:spacing w:after="120"/>
      </w:pPr>
      <w:r>
        <w:rPr>
          <w:rFonts w:ascii="Calibri" w:hAnsi="Calibri"/>
          <w:b w:val="0"/>
          <w:color w:val="3A4A28"/>
          <w:sz w:val="20"/>
        </w:rPr>
        <w:t>The bear case is binary clinical-stage risk. Dyne is pre-revenue with $120.9M quarterly cash burn -- the entire $3.91B market cap is optionality on z-rostudirsen and z-basivarsen clinical/regulatory success [1][2]. A BLA rejection or insufficient clinical data would compress equity value substantially. Infrastructure scores near the floor (3/10) because no financial metrics support the valuation beyond the balance sheet. The leadership team is largely new (CEO since March 2024, most C-suite since 2025), limiting the track record for executing a first commercial launch. Competition from Sarepta's established DMD franchise, Avidity Biosciences, and potential gene therapy entrants creates commercial risk even upon approval. The 5-year CAGR calculation is inapplicable for a pre-revenue company, but the $446.2M FY2025 net loss demonstrates the scale of pre-commercialization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z-rostudirsen BLA submission targeted for Q2 2026 with potential FDA accelerated approval and commercial launch in Q1 2027 for DM1</w:t>
      </w:r>
    </w:p>
    <w:p>
      <w:pPr>
        <w:spacing w:before="40" w:after="40"/>
        <w:ind w:left="283"/>
      </w:pPr>
      <w:r>
        <w:rPr>
          <w:rFonts w:ascii="Calibri" w:hAnsi="Calibri"/>
          <w:b/>
          <w:color w:val="4A6B25"/>
          <w:sz w:val="20"/>
        </w:rPr>
        <w:t xml:space="preserve">2. </w:t>
      </w:r>
      <w:r>
        <w:rPr>
          <w:rFonts w:ascii="Calibri" w:hAnsi="Calibri"/>
          <w:b w:val="0"/>
          <w:color w:val="3A4A28"/>
          <w:sz w:val="20"/>
        </w:rPr>
        <w:t>z-basivarsen Phase 3 advancement for FSHD with potential BLA submission by Q1 2028, creating a second major commercial asset from the FORCE platform</w:t>
      </w:r>
    </w:p>
    <w:p>
      <w:pPr>
        <w:spacing w:before="40" w:after="40"/>
        <w:ind w:left="283"/>
      </w:pPr>
      <w:r>
        <w:rPr>
          <w:rFonts w:ascii="Calibri" w:hAnsi="Calibri"/>
          <w:b/>
          <w:color w:val="4A6B25"/>
          <w:sz w:val="20"/>
        </w:rPr>
        <w:t xml:space="preserve">3. </w:t>
      </w:r>
      <w:r>
        <w:rPr>
          <w:rFonts w:ascii="Calibri" w:hAnsi="Calibri"/>
          <w:b w:val="0"/>
          <w:color w:val="3A4A28"/>
          <w:sz w:val="20"/>
        </w:rPr>
        <w:t>Potential transition from clinical-stage to commercial-stage company within 12 months, fundamentally revaluing the equity from pipeline optionality to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clinical/regulatory risk -- BLA rejection or insufficient z-rostudirsen efficacy data would compress the $3.91B market cap substantially with no revenue floor</w:t>
      </w:r>
    </w:p>
    <w:p>
      <w:pPr>
        <w:spacing w:before="40" w:after="40"/>
        <w:ind w:left="283"/>
      </w:pPr>
      <w:r>
        <w:rPr>
          <w:rFonts w:ascii="Calibri" w:hAnsi="Calibri"/>
          <w:b/>
          <w:color w:val="4A6B25"/>
          <w:sz w:val="20"/>
        </w:rPr>
        <w:t xml:space="preserve">2. </w:t>
      </w:r>
      <w:r>
        <w:rPr>
          <w:rFonts w:ascii="Calibri" w:hAnsi="Calibri"/>
          <w:b w:val="0"/>
          <w:color w:val="3A4A28"/>
          <w:sz w:val="20"/>
        </w:rPr>
        <w:t>$120.9M quarterly cash burn with $972.2M in reserves provides runway only to Q1 2028 -- any regulatory delay forces additional dilutive financing</w:t>
      </w:r>
    </w:p>
    <w:p>
      <w:pPr>
        <w:spacing w:before="40" w:after="40"/>
        <w:ind w:left="283"/>
      </w:pPr>
      <w:r>
        <w:rPr>
          <w:rFonts w:ascii="Calibri" w:hAnsi="Calibri"/>
          <w:b/>
          <w:color w:val="4A6B25"/>
          <w:sz w:val="20"/>
        </w:rPr>
        <w:t xml:space="preserve">3. </w:t>
      </w:r>
      <w:r>
        <w:rPr>
          <w:rFonts w:ascii="Calibri" w:hAnsi="Calibri"/>
          <w:b w:val="0"/>
          <w:color w:val="3A4A28"/>
          <w:sz w:val="20"/>
        </w:rPr>
        <w:t>Entirely new commercial team (CCO hired 2025, CEO since March 2024) with no track record executing a first launch at Dyne creates execution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Genetic medicine for rare neuromuscular diseases is structurally immune to AI disruption. The core value drivers -- clinical trial data demonstrating safety and efficacy, FDA regulatory approval, drug manufacturing, and patient treatment -- require physical-world operations and deep regulatory expertise that AI cannot substitute [1][5]. The FORCE platform's proprietary oligonucleotide-conjugate technology and 8 years of accumulated clinical data create moats that AI-native entrants cannot replicate. AI may accelerate competing drug discovery programs over long time horizons, but the 10-15 year development cycle and regulatory barriers provide deep structural protection. AI Opportunity (0/1): No AI-generated revenue. Pre-revenue company focused on conventional drug development with no disclosed AI products or AI-enhanced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Dyne Therapeutics Q1 2026 Financial Results -- Net Loss $120.9M, Cash $972.2M, z-rostudirsen BLA Timeline, May 2026</w:t>
      </w:r>
    </w:p>
    <w:p>
      <w:pPr>
        <w:spacing w:before="20" w:after="20"/>
        <w:ind w:left="170"/>
      </w:pPr>
      <w:r>
        <w:rPr>
          <w:rFonts w:ascii="Calibri" w:hAnsi="Calibri"/>
          <w:b/>
          <w:color w:val="4A6B25"/>
          <w:sz w:val="15"/>
        </w:rPr>
        <w:t xml:space="preserve">2. </w:t>
      </w:r>
      <w:r>
        <w:rPr>
          <w:rFonts w:ascii="Calibri" w:hAnsi="Calibri"/>
          <w:b w:val="0"/>
          <w:color w:val="3A4A28"/>
          <w:sz w:val="17"/>
        </w:rPr>
        <w:t>Dyne Therapeutics FY2025 Annual Report -- Net Loss $446.2M, Pipeline Advancement, February 2026</w:t>
      </w:r>
    </w:p>
    <w:p>
      <w:pPr>
        <w:spacing w:before="20" w:after="20"/>
        <w:ind w:left="170"/>
      </w:pPr>
      <w:r>
        <w:rPr>
          <w:rFonts w:ascii="Calibri" w:hAnsi="Calibri"/>
          <w:b/>
          <w:color w:val="4A6B25"/>
          <w:sz w:val="15"/>
        </w:rPr>
        <w:t xml:space="preserve">3. </w:t>
      </w:r>
      <w:r>
        <w:rPr>
          <w:rFonts w:ascii="Calibri" w:hAnsi="Calibri"/>
          <w:b w:val="0"/>
          <w:color w:val="3A4A28"/>
          <w:sz w:val="17"/>
        </w:rPr>
        <w:t>Dyne Therapeutics CEO Transition Announcement -- John Cox as CEO, Bioverativ Background, March 2024</w:t>
      </w:r>
    </w:p>
    <w:p>
      <w:pPr>
        <w:spacing w:before="20" w:after="20"/>
        <w:ind w:left="170"/>
      </w:pPr>
      <w:r>
        <w:rPr>
          <w:rFonts w:ascii="Calibri" w:hAnsi="Calibri"/>
          <w:b/>
          <w:color w:val="4A6B25"/>
          <w:sz w:val="15"/>
        </w:rPr>
        <w:t xml:space="preserve">4. </w:t>
      </w:r>
      <w:r>
        <w:rPr>
          <w:rFonts w:ascii="Calibri" w:hAnsi="Calibri"/>
          <w:b w:val="0"/>
          <w:color w:val="3A4A28"/>
          <w:sz w:val="17"/>
        </w:rPr>
        <w:t>Dyne Therapeutics Key Leadership Appointments -- CMO, CCO, CHRO, CIO Role Creation, 2025-2026</w:t>
      </w:r>
    </w:p>
    <w:p>
      <w:pPr>
        <w:spacing w:before="20" w:after="20"/>
        <w:ind w:left="170"/>
      </w:pPr>
      <w:r>
        <w:rPr>
          <w:rFonts w:ascii="Calibri" w:hAnsi="Calibri"/>
          <w:b/>
          <w:color w:val="4A6B25"/>
          <w:sz w:val="15"/>
        </w:rPr>
        <w:t xml:space="preserve">5. </w:t>
      </w:r>
      <w:r>
        <w:rPr>
          <w:rFonts w:ascii="Calibri" w:hAnsi="Calibri"/>
          <w:b w:val="0"/>
          <w:color w:val="3A4A28"/>
          <w:sz w:val="17"/>
        </w:rPr>
        <w:t>GlobeNewsWire / StockTitan -- Dyne Therapeutics z-rostudirsen BLA Timeline, z-basivarsen Phase 3 Updates, Pipeline Strategy,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