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EA</w:t>
      </w:r>
      <w:r>
        <w:rPr>
          <w:rFonts w:ascii="Calibri" w:hAnsi="Calibri"/>
          <w:b/>
          <w:color w:val="1A2010"/>
          <w:sz w:val="40"/>
        </w:rPr>
        <w:t xml:space="preserve">  Electronic Arts Inc.</w:t>
      </w:r>
    </w:p>
    <w:p>
      <w:pPr>
        <w:spacing w:after="120"/>
      </w:pPr>
      <w:r>
        <w:rPr>
          <w:rFonts w:ascii="Calibri" w:hAnsi="Calibri"/>
          <w:b/>
          <w:color w:val="6E8450"/>
          <w:sz w:val="18"/>
        </w:rPr>
        <w:t>GROWTH SLEEVE · 2026-07-13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Electronic Arts is one of the world's largest interactive entertainment companies, developing and publishing video games across console, PC, and mobile platforms. Key franchises include EA Sports FC (formerly FIFA), Madden NFL, Battlefield, Apex Legends, The Sims, and Star Wars. The company achieved record FY2026 net bookings of $8.0 billion (+9% YoY) and revenue of $7.53 billion, with live services generating $1.5 billion in Q4 FY2026 alone. EA is subject to a pending $55 billion going-private transaction by a consortium including Saudi Arabia's PIF, Silver Lake, and Affinity Partners, expected to close by late 2026.</w:t>
      </w:r>
    </w:p>
    <w:p>
      <w:r>
        <w:rPr>
          <w:rFonts w:ascii="Calibri" w:hAnsi="Calibri"/>
          <w:b/>
          <w:color w:val="6E8450"/>
          <w:sz w:val="18"/>
        </w:rPr>
        <w:t>12,900 Employees · https://www.ea.com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Battlefield 6 was the best-performing release in franchise history during FY2026, and Apex Legends delivered its strongest net bookings in Q4 FY2026, demonstrating successful franchise revitalization [1]. The transformation from packaged game sales to live services — now generating $1.5B/quarter — represents a significant business model evolution, though not a complete reinvention on the scale of NVDA's gaming-to-AI pivot. AI Deployment (1/2): EA announced a strategic partnership with Stability AI to co-develop generative AI models, tools, and workflows for game creation, with AI facilitating 'faster prototyping' and a 'real rise in creativity' within studios [2]. These are internal production tools, not AI products sold to customers, but represent genuine AI adoption with reported productivity benefits. Market Share (2/2): EA is a dominant force in sports gaming (EA Sports FC, Madden NFL), holds significant market share in the battle royale genre (Apex Legends), and is the second-largest Western game publisher by revenue [1]. Record $8.0B net bookings validates the portfolio's strength. Product Pipeline (1/2): Generative AI tools in co-development with Stability AI, continued Apex Legends and EA Sports franchise expansions, and unannounced titles in the pipeline. Specific next-gen products with dates beyond existing franchises were not detailed [2]. R&amp;D Intensity (1/1): EA invests heavily in game development relative to revenue, with high engineering costs for live service infrastructure and the Stability AI partnership reflecting above-average R&amp;D commitment for the gaming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EA's purpose to 'inspire the world to play' is clear and identifies the company's role in creating interactive entertainment experiences that connect hundreds of millions of players globally [1]. The mission is functional and reasonably distinctive for a gaming company, but it has been undermined by monetization controversies that prioritize extraction over player experience. Community &amp; Charitable Impact (0/2): No specific charitable programs, foundation activities, or community investment dollar amounts were identified in search results. EA's public-facing narrative focuses on player engagement and franchise growth rather than community giving. Employee Retention (0/2): The gaming industry broadly suffers from 'crunch culture' — extended work periods before game launches — and EA has conducted workforce reductions in recent years. No specific positive retention, tenure, or employee satisfaction data was identified to distinguish EA from industry average. Insider Buying (0/2): The pending $55B going-private transaction by PIF, Silver Lake, and Affinity Partners makes insider buying data irrelevant — management is selling the company rather than buying shares on the open market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EA's balance sheet is a standout — D/E of just 27% is well below the 70% target, reflecting conservative capital management with minimal leverage [5]. Operating income surged 42.8% in Q4 FY2026 to $564M with operating margin expanding to 26.6%, though net profit margin of 11.78% is below the 20% target due to tax and other items [1]. Forward P/E of 23.70x is slightly above the 20x target, partly inflated by the pending $55B acquisition premium. PEG ratio of 1.75 falls between the 1.0x target and 3.0x floor, reflecting moderate growth expectations relative to valuation. ROE of 13.49% is just below the 15% target. Revenue growth has been anemic at 1% YoY ($7.46B to $7.53B), though net bookings grew a more robust 9% — the gap reflects deferred revenue recognition timing [1]. The 5-year revenue CAGR of 6.15% provides moderate growth contribution. EA's small dividend ($0.76/share, 0.37% yield) does not qualify for dividend sleeve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Electronic Arts under CEO Andrew Wilson (13-year tenure) has demonstrated operational consistency and franchise stewardship, but the company's competitive posture is fundamentally finite. The loot box controversies — from Star Wars Battlefront II's community backlash to FIFA Ultimate Team generating $800M in net revenue from mechanics that advocacy groups called exploitative of children — reveal a company that has repeatedly chosen short-term monetization over player trust [3]. The pending $55B going-private transaction is the ultimate finite-game move: cashing out rather than continuing to build. Sinek would note that EA plays to win each quarter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'Inspire the world to play' is a genuine purpose that connects EA's products to human joy and social connection through interactive entertainment [1]. However, the cause has been consistently undermined by monetization practices — the Star Wars Battlefront II loot box controversy cost 10% of projected sales, FIFA Ultimate Team's $800M 'surprise mechanics' revenue drew criminal investigations in Belgium and consumer advocacy group complaints to the FTC [3]. A Just Cause that is routinely violated for quarterly revenue is not actually shaping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Wilson's 13-year tenure provides leadership continuity, and the company's ability to sustain franchises like EA Sports FC, Madden, and Apex Legends across multiple development cycles demonstrates functional team execution. CFO Stuart Canfield has held 14 different roles at EA, suggesting strong internal mobility and career development pathways. However, the gaming industry's chronic 'crunch culture' issues, periodic EA layoffs, and no specific positive retention data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EA's competitive narrative focuses on 'beating' rivals for market share — record net bookings of $8.0B, best-performing franchise releases, largest Western publisher. Management commentary frames competition as a war to win rather than a motivation to improve [1]. EA's response to the loot box controversies was to rebrand them as 'surprise mechanics' rather than learn from player feedback, demonstrating a finite competitive mindset that prioritizes defending position over genuine 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 has meaningfully evolved its business model from packaged game sales to live services and digital distribution — live services now generate $1.5B per quarter, fundamentally changing the company's revenue profile from one-time purchases to recurring engagement [1]. The Stability AI partnership represents further evolution toward AI-assisted game development. However, the core business model of licensing sports franchises and building competitive multiplayer games remains unchanged, and the going-private transaction represents an exit from public market accountability rather than a transformative strategic pivot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partner with Stability AI on generative AI tools, despite significant gamer backlash against AI in game development, shows willingness to invest in long-term capability even when unpopular [2]. Maintaining the Battlefield franchise through years of underperformance to achieve the eventual FY2026 breakthrough required patience and investment. However, the loot box controversies demonstrated the opposite of courage — choosing profitable but ethically questionable monetization practices over principled player-first design [3]. The going-private deal prioritizes financial extraction over continued public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Electronic Arts delivered record FY2026 performance with $8.0B net bookings (+9% YoY), $7.53B revenue, and Q4 operating margin of 26.6% — demonstrating that the franchise portfolio (EA Sports FC, Battlefield 6, Apex Legends, Madden) remains a durable cash-generation engine [1]. The Stability AI partnership positions EA at the forefront of generative AI adoption in gaming, potentially reducing development costs and accelerating the innovation pipeline [2]. D/E of just 27% provides exceptional balance sheet flexibility. The pending $55B going-private transaction by PIF, Silver Lake, and Affinity Partners provides a near-term floor to the stock price, with the deal spread offering modest upside if completed as expected [4]. For investors focused on franchise quality and cash flow, EA's portfolio of licensed sports games and live service platforms is among the strongest in interactive entertainment.</w:t>
      </w:r>
    </w:p>
    <w:p>
      <w:pPr>
        <w:spacing w:after="120"/>
      </w:pPr>
      <w:r>
        <w:rPr>
          <w:rFonts w:ascii="Calibri" w:hAnsi="Calibri"/>
          <w:b w:val="0"/>
          <w:color w:val="3A4A28"/>
          <w:sz w:val="20"/>
        </w:rPr>
        <w:t>The bear case centers on regulatory risk, AI disruption, and the going-private transaction itself. The loot box controversies have drawn criminal investigations in Belgium, FTC complaints from consumer advocacy groups, and ongoing regulatory scrutiny — FIFA Ultimate Team alone generates approximately $800M in annual net revenue from mechanics that critics characterize as gambling targeted at minors [3]. An Inspire score of -69 (MISALIGNED) with negative attributions including Gambling makes EA unsuitable for faith-based portfolios. Net profit margin of 11.78% is below the 20% target despite premium pricing, suggesting high cost structures that AI-powered competitors could undercut. The going-private transaction at $55B carries execution risk — if the deal fails, the stock could decline significantly from current levels. Revenue growth of only 1% YoY ($7.46B to $7.53B) and a 5-year CAGR of 6.15% suggest the organic growth engine is mature, with future growth dependent on live service expansion and new franchise development that may not materialize in a post-acquisition, private-equity-driven cost-cutting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$55B going-private transaction by PIF, Silver Lake, and Affinity Partners would provide near-term upside to the deal price for current shareholders and remove public market scrutiny of monetization practices [4]</w:t>
      </w:r>
    </w:p>
    <w:p>
      <w:pPr>
        <w:spacing w:before="40" w:after="40"/>
        <w:ind w:left="283"/>
      </w:pPr>
      <w:r>
        <w:rPr>
          <w:rFonts w:ascii="Calibri" w:hAnsi="Calibri"/>
          <w:b/>
          <w:color w:val="4A6B25"/>
          <w:sz w:val="20"/>
        </w:rPr>
        <w:t xml:space="preserve">2. </w:t>
      </w:r>
      <w:r>
        <w:rPr>
          <w:rFonts w:ascii="Calibri" w:hAnsi="Calibri"/>
          <w:b w:val="0"/>
          <w:color w:val="3A4A28"/>
          <w:sz w:val="20"/>
        </w:rPr>
        <w:t>Stability AI generative AI partnership delivering measurable development cost reductions and enabling faster game production cycles, potentially improving operating margins from the current 26.6% toward 30%+ [2]</w:t>
      </w:r>
    </w:p>
    <w:p>
      <w:pPr>
        <w:spacing w:before="40" w:after="40"/>
        <w:ind w:left="283"/>
      </w:pPr>
      <w:r>
        <w:rPr>
          <w:rFonts w:ascii="Calibri" w:hAnsi="Calibri"/>
          <w:b/>
          <w:color w:val="4A6B25"/>
          <w:sz w:val="20"/>
        </w:rPr>
        <w:t xml:space="preserve">3. </w:t>
      </w:r>
      <w:r>
        <w:rPr>
          <w:rFonts w:ascii="Calibri" w:hAnsi="Calibri"/>
          <w:b w:val="0"/>
          <w:color w:val="3A4A28"/>
          <w:sz w:val="20"/>
        </w:rPr>
        <w:t>Battlefield 6 franchise momentum sustaining through FY2027 with content updates and live service revenue, building on its record FY2026 performance and establishing a new recurring revenue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action against loot box mechanics in major markets (EU, UK, Australia) could force EA to restructure FIFA Ultimate Team's approximately $800M annual revenue stream, directly impacting the company's most profitable franchise [3]</w:t>
      </w:r>
    </w:p>
    <w:p>
      <w:pPr>
        <w:spacing w:before="40" w:after="40"/>
        <w:ind w:left="283"/>
      </w:pPr>
      <w:r>
        <w:rPr>
          <w:rFonts w:ascii="Calibri" w:hAnsi="Calibri"/>
          <w:b/>
          <w:color w:val="4A6B25"/>
          <w:sz w:val="20"/>
        </w:rPr>
        <w:t xml:space="preserve">2. </w:t>
      </w:r>
      <w:r>
        <w:rPr>
          <w:rFonts w:ascii="Calibri" w:hAnsi="Calibri"/>
          <w:b w:val="0"/>
          <w:color w:val="3A4A28"/>
          <w:sz w:val="20"/>
        </w:rPr>
        <w:t>The $55B going-private transaction failing to close would remove the deal-price floor and potentially trigger a significant stock decline, while the uncertainty during the extended closing process may paralyze strategic investment and talent retention</w:t>
      </w:r>
    </w:p>
    <w:p>
      <w:pPr>
        <w:spacing w:before="40" w:after="40"/>
        <w:ind w:left="283"/>
      </w:pPr>
      <w:r>
        <w:rPr>
          <w:rFonts w:ascii="Calibri" w:hAnsi="Calibri"/>
          <w:b/>
          <w:color w:val="4A6B25"/>
          <w:sz w:val="20"/>
        </w:rPr>
        <w:t xml:space="preserve">3. </w:t>
      </w:r>
      <w:r>
        <w:rPr>
          <w:rFonts w:ascii="Calibri" w:hAnsi="Calibri"/>
          <w:b w:val="0"/>
          <w:color w:val="3A4A28"/>
          <w:sz w:val="20"/>
        </w:rPr>
        <w:t>Generative AI lowering barriers to entry in game development enables well-funded competitors and AI-native indie studios to produce competitive titles at a fraction of EA's cost structure, compressing pricing power and market share in non-licensed game categories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Gaming occupies a nuanced position in the AI disruption landscape. EA's core business — building and monetizing interactive entertainment franchises with massive player communities — is protected by brand loyalty, sports league licensing agreements, competitive multiplayer ecosystems, and decades of franchise history that AI cannot easily replicate [1]. However, generative AI creates real substitution risk for portions of game production: AI-generated art assets, dialogue, level design, and QA testing could reduce development costs industry-wide but also lower barriers to entry for competitors. The partnership with Stability AI demonstrates EA is embracing AI as a production tool rather than resisting it [2]. The broader concern is that AI-powered indie studios could produce games of comparable quality at a fraction of EA's $7.5B revenue base, compressing pricing power. Analysts view AI as both threat and enabler for major publishers. AI Opportunity (0/1): While EA is deploying generative AI internally through the Stability AI partnership, it does not yet generate quantifiable revenue from AI products sold to customers. The AI tools improve development efficiency but are not revenue-generating products in their own right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Electronic Arts Q4 and FY2026 Earnings Release — Record Net Bookings $8.0B, Revenue $7.53B, Operating Margin 26.6%, May 2026</w:t>
      </w:r>
    </w:p>
    <w:p>
      <w:pPr>
        <w:spacing w:before="20" w:after="20"/>
        <w:ind w:left="170"/>
      </w:pPr>
      <w:r>
        <w:rPr>
          <w:rFonts w:ascii="Calibri" w:hAnsi="Calibri"/>
          <w:b/>
          <w:color w:val="4A6B25"/>
          <w:sz w:val="15"/>
        </w:rPr>
        <w:t xml:space="preserve">2. </w:t>
      </w:r>
      <w:r>
        <w:rPr>
          <w:rFonts w:ascii="Calibri" w:hAnsi="Calibri"/>
          <w:b w:val="0"/>
          <w:color w:val="3A4A28"/>
          <w:sz w:val="17"/>
        </w:rPr>
        <w:t>Electronic Arts and Stability AI Generative AI Partnership — Co-Development of AI Models for Game Creation, Faster Prototyping, 2026</w:t>
      </w:r>
    </w:p>
    <w:p>
      <w:pPr>
        <w:spacing w:before="20" w:after="20"/>
        <w:ind w:left="170"/>
      </w:pPr>
      <w:r>
        <w:rPr>
          <w:rFonts w:ascii="Calibri" w:hAnsi="Calibri"/>
          <w:b/>
          <w:color w:val="4A6B25"/>
          <w:sz w:val="15"/>
        </w:rPr>
        <w:t xml:space="preserve">3. </w:t>
      </w:r>
      <w:r>
        <w:rPr>
          <w:rFonts w:ascii="Calibri" w:hAnsi="Calibri"/>
          <w:b w:val="0"/>
          <w:color w:val="3A4A28"/>
          <w:sz w:val="17"/>
        </w:rPr>
        <w:t>Electronic Arts Loot Box Controversies — Star Wars Battlefront II, FIFA Ultimate Team $800M Revenue, Belgium Criminal Investigation, FTC Complaints, 2017-2026</w:t>
      </w:r>
    </w:p>
    <w:p>
      <w:pPr>
        <w:spacing w:before="20" w:after="20"/>
        <w:ind w:left="170"/>
      </w:pPr>
      <w:r>
        <w:rPr>
          <w:rFonts w:ascii="Calibri" w:hAnsi="Calibri"/>
          <w:b/>
          <w:color w:val="4A6B25"/>
          <w:sz w:val="15"/>
        </w:rPr>
        <w:t xml:space="preserve">4. </w:t>
      </w:r>
      <w:r>
        <w:rPr>
          <w:rFonts w:ascii="Calibri" w:hAnsi="Calibri"/>
          <w:b w:val="0"/>
          <w:color w:val="3A4A28"/>
          <w:sz w:val="17"/>
        </w:rPr>
        <w:t>EA Going-Private Transaction — $55B Buyout by PIF, Silver Lake, Affinity Partners, Expected Close Late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