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EBC</w:t>
      </w:r>
      <w:r>
        <w:rPr>
          <w:rFonts w:ascii="Calibri" w:hAnsi="Calibri"/>
          <w:b/>
          <w:color w:val="1A2010"/>
          <w:sz w:val="40"/>
        </w:rPr>
        <w:t xml:space="preserve">  Eastern Bankshares, Inc.</w:t>
      </w:r>
    </w:p>
    <w:p>
      <w:pPr>
        <w:spacing w:after="120"/>
      </w:pPr>
      <w:r>
        <w:rPr>
          <w:rFonts w:ascii="Calibri" w:hAnsi="Calibri"/>
          <w:b/>
          <w:color w:val="6E8450"/>
          <w:sz w:val="18"/>
        </w:rPr>
        <w:t>DIVIDEND SLEEVE · 2026-07-19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Banks - Regional · NASDAQ · United States</w:t>
      </w:r>
    </w:p>
    <w:p>
      <w:pPr>
        <w:spacing w:after="80"/>
      </w:pPr>
      <w:r>
        <w:rPr>
          <w:rFonts w:ascii="Calibri" w:hAnsi="Calibri"/>
          <w:b w:val="0"/>
          <w:color w:val="3A4A28"/>
          <w:sz w:val="20"/>
        </w:rPr>
        <w:t>Eastern Bankshares is the bank holding company for Eastern Bank, founded in 1818 in Salem, Massachusetts and the largest mutual bank in the U.S. before converting to public stock form in 2020. Eastern Bank provides banking, trust and investment services to retail, commercial and small-business customers across Massachusetts, New Hampshire and Rhode Island, and closed its acquisition of HarborOne Bancorp on November 1, 2025, creating a ~$30B-asset institution.</w:t>
      </w:r>
    </w:p>
    <w:p>
      <w:r>
        <w:rPr>
          <w:rFonts w:ascii="Calibri" w:hAnsi="Calibri"/>
          <w:b/>
          <w:color w:val="6E8450"/>
          <w:sz w:val="18"/>
        </w:rPr>
        <w:t>2,450 Employees · https://www.easternbank.com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HarborOne Bancorp acquisition, which closed November 1, 2025, nearly doubled Eastern's asset base to roughly $30B and expanded its branch network into Rhode Island — a significant, market-expanding transaction, though it is M&amp;A-driven consolidation rather than organic product innovation [3]. AI Deployment (0/2): No AI-powered product or internally quantified AI-driven savings specific to Eastern Bankshares was identified, in contrast to peer regional banks (KeyBank, Citizens Bank) that disclosed specific AI initiatives [5]. Market Share (1/2): Post-merger, Eastern is the largest community bank in Massachusetts, a meaningful regional leadership position, though not a category-defining national player. Product Pipeline (0/2): No specific next-generation product roadmap with dated targets was found; systems integration through February 2026 was focused on converting HarborOne onto Eastern's existing platforms rather than new product development [3]. R&amp;D Intensity (0/1): Not disclosed; not a typical metric for a community bank.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Eastern's mission — to 'invest in its customers, communities and colleagues to help them prosper and grow' — is validated by over 200 years of continuous operation since 1818 and by the unusual decision, at its 2020 IPO, to gift the Eastern Bank Charitable Foundation a 4% equity stake in the newly public company, embedding the mission directly into its capital structure [4]. Community Impact (2/2): The Eastern Bank Charitable Foundation has contributed $240 million in cumulative charitable giving since 1994, with annual community support recently reaching an all-time high of over $22 million [4]. Employee Retention (0/2): No specific tenure or voluntary-turnover data was found despite searching. Insider Buying (0/2): No specific insider buying transaction data was identified for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debt-to-equity and 5-year revenue CAGR are excluded as not meaningfully disclosed for a bank holding company mid-integration. ROE of 8.66% trails the 15% target (Q1 2026 operating return on average tangible common equity was a stronger 12.8%, depressed by HarborOne merger costs) [3]. Revenue grew 124.4% YoY (TTM), far above the 10% target, though this is entirely merger-driven (the full-period HarborOne contribution) rather than organic growth, and should be read with that caveat [3]. Forward P/E of 11.65 is comfortably inside the 20 target, and profit margin of 35.08% — better than roughly 88% of industry peers — is well above the 20% target [3]. On dividend metrics: the payout ratio is estimated at ~42% on an operating basis (versus a distorted 192% on trailing GAAP EPS depressed by merger costs), modestly above the 40% target; consecutive years paid is limited to roughly 5 years given the 2020 IPO, below the 10-year target; the quarterly dividend was raised 8% in 2025 and 15% in Q1 2026, giving 2 consecutive years of growth and an estimated ~8% five-year dividend growth CAGR, above the 6% target [3][4]. Liquidity is not a constraint: ~2.38M average daily volume at $23.00 implies ~$55M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Eastern Bankshares is a strong infinite-game player. Its 208-year community-banking mission — 'invest in customers, communities and colleagues to help them prosper' — has been tested across a full conversion from mutual to public ownership, and management chose to preserve the mission's institutional weight by gifting the Charitable Foundation a 4% equity stake rather than fully monetizing the conversion, a genuinely costly and unusual choice. The HarborOne merger reflects existential flexibility in service of that cause rather than short-term financial engineering.</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Eastern's mission has been lived out since 1818, surviving the 2008 financial crisis, the 2020 conversion from the largest U.S. mutual bank to a public company, and now the HarborOne integration, with $240 million in cumulative charitable giving since 1994 and a 4% Foundation equity stake preserved through the IPO — a rare example of a Just Cause materially shaping capital-structure decisions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under CEO Denis Sheahan emphasized 'a smooth transition for customers and community partners' and a 'deep commitment to colleague development' during the HarborOne integration, with former HarborOne leaders added to Eastern's board, but no hard employee-tenure or turnover data was found to confirm a standout high-trust culture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Eastern management publicly framing competitors as a source of motivation 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Abandoning 200 years of mutual-ownership structure for public stock form in 2020, followed by the transformative HarborOne merger nearly doubling assets to $30B and expanding into Rhode Island, represents a genuine, cause-driven reinvention of the institution's scale and structure rather than a desperation move [3].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Converting a 200-year-old mutual institution to public stock form in 2020, while gifting away a 4% equity stake to the Charitable Foundation rather than retaining full shareholder value, and then pursuing the transformative $490M HarborOne acquisition to scale the community-banking mission to ~$30B in assets, together represent a genuine pattern of costly, long-term-oriented decisions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Eastern Bankshares closed its transformative HarborOne Bancorp merger on November 1, 2025, creating a ~$30B-asset, Massachusetts-anchored community bank with FY2026 guidance for $1.02-1.05B in net interest income and approximately $408M in net income [3]. The 208-year-old institution's mission-driven capital structure — including a 4% equity stake gifted to the Eastern Bank Charitable Foundation at its 2020 IPO and $240M in cumulative charitable giving since 1994 — combined with an 8% dividend increase in 2025 and a further 15% increase in Q1 2026, reflects genuine long-term conviction from management [3][4]. Profit margin of 35.08% (better than ~88% of bank peers) and a forward P/E of 11.65 suggest reasonable valuation for a well-capitalized, integration-focused regional bank [3].</w:t>
      </w:r>
    </w:p>
    <w:p>
      <w:pPr>
        <w:spacing w:after="120"/>
      </w:pPr>
      <w:r>
        <w:rPr>
          <w:rFonts w:ascii="Calibri" w:hAnsi="Calibri"/>
          <w:b w:val="0"/>
          <w:color w:val="3A4A28"/>
          <w:sz w:val="20"/>
        </w:rPr>
        <w:t>The near-term concern is integration execution: Q1 2026 operating EPS of $0.40 missed analyst estimates of $0.44 by 9%, revenue of $288.2M came in 4.3% below expectations, and reported net interest margin and ROE (8.66%) remain below Infrastructure targets as merger costs and systems conversion (completed February 2026) work through the numbers [3]. The 124.4% YoY revenue growth is entirely merger-driven, not organic, and should not be extrapolated. Longer term, Eastern faces the same structural AI/fintech disruption pressure documented across the regional banking sector — AI-native lenders and automated underwriting are compressing the economics of small-business lending and back-office functions industry-wide, and Eastern has not disclosed specific AI initiatives of its own to counter this, unlike larger peers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realization of HarborOne merger cost synergies now that systems integration completed in February 2026, which should lift ROE and operating EPS back toward or above the 12.8% operating return on average tangible common equity posted in Q1 2026 [3]</w:t>
      </w:r>
    </w:p>
    <w:p>
      <w:pPr>
        <w:spacing w:before="40" w:after="40"/>
        <w:ind w:left="283"/>
      </w:pPr>
      <w:r>
        <w:rPr>
          <w:rFonts w:ascii="Calibri" w:hAnsi="Calibri"/>
          <w:b/>
          <w:color w:val="4A6B25"/>
          <w:sz w:val="20"/>
        </w:rPr>
        <w:t xml:space="preserve">2. </w:t>
      </w:r>
      <w:r>
        <w:rPr>
          <w:rFonts w:ascii="Calibri" w:hAnsi="Calibri"/>
          <w:b w:val="0"/>
          <w:color w:val="3A4A28"/>
          <w:sz w:val="20"/>
        </w:rPr>
        <w:t>Continued double-digit dividend growth (8% in 2025, 15% in Q1 2026) if integration-driven earnings normalize, improving the currently below-target consecutive-dividend-growth and payment-history Infrastructure metrics over time [3][4]</w:t>
      </w:r>
    </w:p>
    <w:p>
      <w:pPr>
        <w:spacing w:before="40" w:after="40"/>
        <w:ind w:left="283"/>
      </w:pPr>
      <w:r>
        <w:rPr>
          <w:rFonts w:ascii="Calibri" w:hAnsi="Calibri"/>
          <w:b/>
          <w:color w:val="4A6B25"/>
          <w:sz w:val="20"/>
        </w:rPr>
        <w:t xml:space="preserve">3. </w:t>
      </w:r>
      <w:r>
        <w:rPr>
          <w:rFonts w:ascii="Calibri" w:hAnsi="Calibri"/>
          <w:b w:val="0"/>
          <w:color w:val="3A4A28"/>
          <w:sz w:val="20"/>
        </w:rPr>
        <w:t>Deployment of AI-enabled underwriting or back-office automation, following the pattern of peer regional banks reporting 40-60% analyst-time reductions, which would improve efficiency ratios and the currently unscored AI Opportunity component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operating EPS missed estimates by 9% and revenue missed by 4.3%, signaling HarborOne integration is not yet fully translating into expected earnings power [3]</w:t>
      </w:r>
    </w:p>
    <w:p>
      <w:pPr>
        <w:spacing w:before="40" w:after="40"/>
        <w:ind w:left="283"/>
      </w:pPr>
      <w:r>
        <w:rPr>
          <w:rFonts w:ascii="Calibri" w:hAnsi="Calibri"/>
          <w:b/>
          <w:color w:val="4A6B25"/>
          <w:sz w:val="20"/>
        </w:rPr>
        <w:t xml:space="preserve">2. </w:t>
      </w:r>
      <w:r>
        <w:rPr>
          <w:rFonts w:ascii="Calibri" w:hAnsi="Calibri"/>
          <w:b w:val="0"/>
          <w:color w:val="3A4A28"/>
          <w:sz w:val="20"/>
        </w:rPr>
        <w:t>124.4% reported revenue growth is entirely merger-inflated and not organic; investors should not extrapolate this growth rate, and true organic loan/deposit growth guidance of 3-5%/1-2% for 2026 is far more modest [3]</w:t>
      </w:r>
    </w:p>
    <w:p>
      <w:pPr>
        <w:spacing w:before="40" w:after="40"/>
        <w:ind w:left="283"/>
      </w:pPr>
      <w:r>
        <w:rPr>
          <w:rFonts w:ascii="Calibri" w:hAnsi="Calibri"/>
          <w:b/>
          <w:color w:val="4A6B25"/>
          <w:sz w:val="20"/>
        </w:rPr>
        <w:t xml:space="preserve">3. </w:t>
      </w:r>
      <w:r>
        <w:rPr>
          <w:rFonts w:ascii="Calibri" w:hAnsi="Calibri"/>
          <w:b w:val="0"/>
          <w:color w:val="3A4A28"/>
          <w:sz w:val="20"/>
        </w:rPr>
        <w:t>Only ~5 years of dividend payment history as a public company (post-2020 conversion) leaves EBC below the 10-year Infrastructure target for payment consistency, and industry-wide AI/fintech disruption to small-business lending and back-office functions is a real, analyst-flagged risk EBC has not specifically addressed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Regional banks face real, analyst-documented AI disruption risk — peer institutions report 40-60% reductions in analyst time per commercial loan from AI-enhanced underwriting, agentic AI is handling a rising share of back-office and call-center work at scale players like Citizens Bank (targeting 25% of call-center volume by end of 2026), and a new generation of AI-native fintechs is competing directly for small-business lending and payments share that community banks traditionally held [5]. Eastern's relationship-banking model, 200+ year community deposit franchise, and regulatory/compliance moat provide meaningful but not complete protection, and 42% of bank-risk survey respondents ranked AI-driven strategic risk a top 2026 concern, up from 30% a year prior [5]. AI Opportunity (0/1): No AI-specific product or quantified AI-driven revenue was disclosed for Eastern Bankshares specifically.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Eastern Bankshares Q1 2026 Earnings Release and Call Summary — SEC 8-K, Investing.com, Yahoo Finance, April-May 2026</w:t>
      </w:r>
    </w:p>
    <w:p>
      <w:pPr>
        <w:spacing w:before="20" w:after="20"/>
        <w:ind w:left="170"/>
      </w:pPr>
      <w:r>
        <w:rPr>
          <w:rFonts w:ascii="Calibri" w:hAnsi="Calibri"/>
          <w:b/>
          <w:color w:val="4A6B25"/>
          <w:sz w:val="15"/>
        </w:rPr>
        <w:t xml:space="preserve">2. </w:t>
      </w:r>
      <w:r>
        <w:rPr>
          <w:rFonts w:ascii="Calibri" w:hAnsi="Calibri"/>
          <w:b w:val="0"/>
          <w:color w:val="3A4A28"/>
          <w:sz w:val="17"/>
        </w:rPr>
        <w:t>Eastern Bankshares FY2026 Guidance and Return Metrics — TradingKey, Simply Wall St, IndexBox,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HarborOne Bancorp Merger Close and Integration Timeline — Businesswire, Panabee, SEC filings, November 2025-February 2026</w:t>
      </w:r>
    </w:p>
    <w:p>
      <w:pPr>
        <w:spacing w:before="20" w:after="20"/>
        <w:ind w:left="170"/>
      </w:pPr>
      <w:r>
        <w:rPr>
          <w:rFonts w:ascii="Calibri" w:hAnsi="Calibri"/>
          <w:b/>
          <w:color w:val="4A6B25"/>
          <w:sz w:val="15"/>
        </w:rPr>
        <w:t xml:space="preserve">4. </w:t>
      </w:r>
      <w:r>
        <w:rPr>
          <w:rFonts w:ascii="Calibri" w:hAnsi="Calibri"/>
          <w:b w:val="0"/>
          <w:color w:val="3A4A28"/>
          <w:sz w:val="17"/>
        </w:rPr>
        <w:t>Eastern Bank Charitable Foundation — $240M Cumulative Giving, 4% Equity Stake, easternbank.com newsroom</w:t>
      </w:r>
    </w:p>
    <w:p>
      <w:pPr>
        <w:spacing w:before="20" w:after="20"/>
        <w:ind w:left="170"/>
      </w:pPr>
      <w:r>
        <w:rPr>
          <w:rFonts w:ascii="Calibri" w:hAnsi="Calibri"/>
          <w:b/>
          <w:color w:val="4A6B25"/>
          <w:sz w:val="15"/>
        </w:rPr>
        <w:t xml:space="preserve">5. </w:t>
      </w:r>
      <w:r>
        <w:rPr>
          <w:rFonts w:ascii="Calibri" w:hAnsi="Calibri"/>
          <w:b w:val="0"/>
          <w:color w:val="3A4A28"/>
          <w:sz w:val="17"/>
        </w:rPr>
        <w:t>ABA Banking Journal, Bank Director, Chicago Fed — Regional Bank AI Disruption and Fintech Competition Risk, 2026</w:t>
      </w:r>
    </w:p>
    <w:p>
      <w:pPr>
        <w:spacing w:before="20" w:after="20"/>
        <w:ind w:left="170"/>
      </w:pPr>
      <w:r>
        <w:rPr>
          <w:rFonts w:ascii="Calibri" w:hAnsi="Calibri"/>
          <w:b/>
          <w:color w:val="4A6B25"/>
          <w:sz w:val="15"/>
        </w:rPr>
        <w:t xml:space="preserve">6. </w:t>
      </w:r>
      <w:r>
        <w:rPr>
          <w:rFonts w:ascii="Calibri" w:hAnsi="Calibri"/>
          <w:b w:val="0"/>
          <w:color w:val="3A4A28"/>
          <w:sz w:val="17"/>
        </w:rPr>
        <w:t>Eastern Bankshares Dividend History — WallStreetZen, MarketBeat, DivvyDiary,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EBC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