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ECC</w:t>
      </w:r>
      <w:r>
        <w:rPr>
          <w:rFonts w:ascii="Calibri" w:hAnsi="Calibri"/>
          <w:b/>
          <w:color w:val="1A2010"/>
          <w:sz w:val="40"/>
        </w:rPr>
        <w:t xml:space="preserve">  Eagle Point Credit Company Inc.</w:t>
      </w:r>
    </w:p>
    <w:p>
      <w:pPr>
        <w:spacing w:after="120"/>
      </w:pPr>
      <w:r>
        <w:rPr>
          <w:rFonts w:ascii="Calibri" w:hAnsi="Calibri"/>
          <w:b/>
          <w:color w:val="6E8450"/>
          <w:sz w:val="18"/>
        </w:rPr>
        <w:t>DIVIDEND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Eagle Point Credit Company is a publicly traded closed-end fund managed by Eagle Point Credit Management LLC ($14 billion AUM) that invests primarily in equity and junior debt tranches of collateralized loan obligations (CLOs) consisting predominantly of below investment grade U.S. senior secured loans. The fund also allocates to regulatory capital relief (9.2%), ABS/specialty finance (5.2%), infrastructure credit (8.9%), and strategic credit (1.5%). Founded by Tom Majewski in 2014, ECC's NAV per share declined from $5.70 at year-end 2025 to $4.17 as of March 31, 2026 — a 26.8% decline — before recovering to an estimated $4.49-$4.59 by April month-end. Monthly common distributions were reduced to $0.06 per share for Q3 2026.</w:t>
      </w:r>
    </w:p>
    <w:p>
      <w:r>
        <w:rPr>
          <w:rFonts w:ascii="Calibri" w:hAnsi="Calibri"/>
          <w:b/>
          <w:color w:val="6E8450"/>
          <w:sz w:val="18"/>
        </w:rPr>
        <w:t>https://www.eaglepointcreditcompany.com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Eagle Point has diversified from pure CLO equity investing into adjacent strategies including regulatory capital relief, ABS/specialty finance, infrastructure credit, and portfolio debt securities — a meaningful portfolio expansion that now represents 34.2% of assets outside core CLO equity [1]. However, these are incremental extensions within structured credit, not transformative business model pivots. AI Deployment (0/2): No evidence of AI deployment in investment analysis, portfolio management, or client services. CLO investing remains a human judgment-intensive process driven by credit analysis expertise and relationship-based origination. Market Share (1/2): Eagle Point Credit Management manages $14 billion in AUM and is a recognized specialist in CLO investing, earning Tom Majewski the Ernst &amp; Young Entrepreneur of the Year Award in 2017 [2]. The firm has meaningful market presence in a niche but is not the largest CLO manager. Product Pipeline (0/2): No next-generation investment products with specific timelines and revenue visibility have been announced. The fund's strategy evolution is incremental. R&amp;D Intensity (0/1): Not applicable to a closed-end investment fund.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Eagle Point Credit Company's stated objective is 'to generate high current income, with a secondary objective to generate capital appreciation' — the fund does not articulate why it exists beyond generating financial returns for shareholders [2]. There is no mission, purpose, or vision statement that connects the company's work to a larger societal benefit. This is a purely financial instrument with no stated purpose beyond capital allocation. Community &amp; Charitable Impact (0/2): No evidence of charitable giving, community programs, or foundation activities was identified. Eagle Point Credit Management is a specialist investment firm focused exclusively on CLO and structured credit investing. Employee Retention (0/2): Eagle Point Credit Management is a small, privately held investment manager. No employee count, retention data, or cultural information is publicly available for the management company. The fund itself has no employees. Insider Buying (0/2): No evidence of meaningful net insider buying by founder Tom Majewski or other principals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limitations — ECC is a closed-end fund where traditional operating company metrics are partially inapplicable. D/E of 41% is well below the 70% target, reflecting conservative fund-level leverage relative to NAV [4]. However, the underlying CLO equity positions carry substantial embedded leverage. Forward P/E of 4.52x (February 2026 estimate) benefits from a deeply discounted valuation, though this metric is unreliable given Q1 2026's -20.2% GAAP ROE and NAV decline of 26.8% [1]. ROE of -18.07% and profit margin of -83.95% both score at the floor, reflecting significant realized and unrealized investment losses in a volatile credit environment. The fund has paid distributions continuously for 11 years since its 2014 inception, but monthly distributions have been cut from $0.20/month in 2019-2021 to $0.06/month in 2026 — a decline of approximately 70% [1]. The 5-year dividend growth CAGR of approximately -24.5% and zero consecutive years of distribution growth confirm a deteriorating income profile.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Eagle Point Credit Company is a financial product designed to generate income — there is no Just Cause, no purpose beyond capital allocation, and no vision of a future worth sustaining. Sinek would classify closed-end funds as quintessentially finite: they exist to produce returns, and when returns deteriorate (as ECC's NAV declined 26.8% in Q1 2026), the only question is whether to continue or liquidate. The fund earns credit for Tom Majewski's 31 years of structured credit experience and the firm's entrepreneurial culture, but these are finite game competencies — expertise deployed for financial return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Eagle Point Credit Company's sole stated purpose is generating income and capital appreciation through CLO investing [2]. There is no vision of a better future, no broader societal benefit, and no purpose that would survive the elimination of the fund itself. This is the definition of a finite player in Sinek's framework — the company exists to win a financial game, not to advance a cause worth sustaining.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Eagle Point Credit Management operates under a culture of 'respect, accountability and leadership development,' and Tom Majewski's Ernst &amp; Young Entrepreneur of the Year Award (2017) suggests an organizational environment that values entrepreneurial initiative [2]. The firm's 31 years of structured credit experience under Majewski's leadership provides stability. However, the firm is small and privately held, with no public employee satisfaction, retention, or cultural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in Eagle Point's competitive narrative. The fund's marketing emphasizes its CLO expertise, $14B AUM, and niche market specialization without acknowledging competitors' strengths or framing competition as motivation for self-improvement [2]. The competitive dynamic in CLO investing is about performance attribution, not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Eagle Point has meaningfully diversified from pure CLO equity into regulatory capital relief (9.2%), infrastructure credit (8.9%), ABS/specialty finance (5.2%), and portfolio debt securities (9.1%) [1]. This represents genuine strategic evolution as the firm recognized that CLO equity concentration created excessive volatility — the Q1 2026 NAV decline validated this concern. However, the diversification is incremental portfolio management rather than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Tom Majewski founded Eagle Point in 2014 and maintained the CLO equity strategy through multiple credit cycles including the 2015-2016 energy credit crisis, the 2020 pandemic dislocation, and the 2022-2023 rate hiking cycle [2]. The willingness to reduce monthly distributions from $0.20 to $0.06 per share — a painful 70% cut — demonstrates intellectual honesty about the earnings profile rather than maintaining an unsustainable payout to protect the stock price [1]. However, the distribution cuts were forced by the NAV decline rather than proactive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Eagle Point Credit offers a 19.6% current yield ($0.06/month) backed by 11 consecutive years of distribution payments since the fund's 2014 inception, and the stock trades at a 12% discount to the most recent estimated NAV of $4.49-$4.59 per share [1]. D/E of 41% is conservative at the fund level, and Eagle Point Credit Management's $14 billion AUM platform and Tom Majewski's 31 years of structured credit experience provide deep CLO market expertise [2]. The portfolio diversification into regulatory capital relief (9.2%), infrastructure credit (8.9%), and ABS/specialty finance (5.2%) reduces concentration risk relative to historical pure CLO equity exposure. In a supportive credit environment where CLO issuance reached $47 billion in Q1 2026 alone, ECC's equity tranches benefit from elevated loan spreads and strong recovery assumptions.</w:t>
      </w:r>
    </w:p>
    <w:p>
      <w:pPr>
        <w:spacing w:after="120"/>
      </w:pPr>
      <w:r>
        <w:rPr>
          <w:rFonts w:ascii="Calibri" w:hAnsi="Calibri"/>
          <w:b w:val="0"/>
          <w:color w:val="3A4A28"/>
          <w:sz w:val="20"/>
        </w:rPr>
        <w:t>The bear case is severe and well-documented. ECC's NAV collapsed 26.8% in Q1 2026 from $5.70 to $4.17 per share, generating a -20.2% GAAP return on equity [1]. Monthly distributions have been slashed from $0.20/share (2019-2021) to $0.06/share (2026) — a 70% reduction that signals the fund's income-generating capacity has been structurally impaired. The stock has fallen from double-digit prices to $3.67, and the 19.6% yield is a function of price collapse rather than income strength. CLO equity is the riskiest tranche in the CLO capital structure — first loss, last recovery — and in a credit downturn, further NAV erosion and distribution cuts are virtually certain. ROE of -18.07% and profit margin of -83.95% reflect an investment vehicle that is destroying capital, not generating it [4]. The Inspire score of 0 (MIXED) with no attributions in either direction means there is no faith-based argument for or against ECC. The SELL recommendation reflects a fundamentally impaired income vehicle with negative returns, declining distributions, and structural risks inherent in CLO equity investing.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 equity valuations recovering from Q1 2026 trough as credit markets stabilize — the April NAV estimate of $4.49-$4.59 per share represents a 9% recovery from quarter-end, suggesting the worst may be behind [1]</w:t>
      </w:r>
    </w:p>
    <w:p>
      <w:pPr>
        <w:spacing w:before="40" w:after="40"/>
        <w:ind w:left="283"/>
      </w:pPr>
      <w:r>
        <w:rPr>
          <w:rFonts w:ascii="Calibri" w:hAnsi="Calibri"/>
          <w:b/>
          <w:color w:val="4A6B25"/>
          <w:sz w:val="20"/>
        </w:rPr>
        <w:t xml:space="preserve">2. </w:t>
      </w:r>
      <w:r>
        <w:rPr>
          <w:rFonts w:ascii="Calibri" w:hAnsi="Calibri"/>
          <w:b w:val="0"/>
          <w:color w:val="3A4A28"/>
          <w:sz w:val="20"/>
        </w:rPr>
        <w:t>Continued CLO market activity ($47B new issuance, $32B resets, $24B refinancings in Q1 2026) creating opportunities for Eagle Point to rotate into higher-quality CLO equity positions with improved deal structures [1]</w:t>
      </w:r>
    </w:p>
    <w:p>
      <w:pPr>
        <w:spacing w:before="40" w:after="40"/>
        <w:ind w:left="283"/>
      </w:pPr>
      <w:r>
        <w:rPr>
          <w:rFonts w:ascii="Calibri" w:hAnsi="Calibri"/>
          <w:b/>
          <w:color w:val="4A6B25"/>
          <w:sz w:val="20"/>
        </w:rPr>
        <w:t xml:space="preserve">3. </w:t>
      </w:r>
      <w:r>
        <w:rPr>
          <w:rFonts w:ascii="Calibri" w:hAnsi="Calibri"/>
          <w:b w:val="0"/>
          <w:color w:val="3A4A28"/>
          <w:sz w:val="20"/>
        </w:rPr>
        <w:t>Portfolio diversification into infrastructure credit and regulatory capital relief generating more stable income streams than pure CLO equity, potentially supporting future distribution increases if credit conditions improve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 credit downturn or recession would trigger elevated default rates in the below-investment-grade leveraged loan market, causing further CLO equity impairments and NAV declines beyond the 26.8% already experienced in Q1 2026 [1]</w:t>
      </w:r>
    </w:p>
    <w:p>
      <w:pPr>
        <w:spacing w:before="40" w:after="40"/>
        <w:ind w:left="283"/>
      </w:pPr>
      <w:r>
        <w:rPr>
          <w:rFonts w:ascii="Calibri" w:hAnsi="Calibri"/>
          <w:b/>
          <w:color w:val="4A6B25"/>
          <w:sz w:val="20"/>
        </w:rPr>
        <w:t xml:space="preserve">2. </w:t>
      </w:r>
      <w:r>
        <w:rPr>
          <w:rFonts w:ascii="Calibri" w:hAnsi="Calibri"/>
          <w:b w:val="0"/>
          <w:color w:val="3A4A28"/>
          <w:sz w:val="20"/>
        </w:rPr>
        <w:t>Monthly distributions of $0.06/share may be further reduced if the fund's net investment income continues to deteriorate — the distribution has already been cut 70% from $0.20/share, and there is no floor on further reductions</w:t>
      </w:r>
    </w:p>
    <w:p>
      <w:pPr>
        <w:spacing w:before="40" w:after="40"/>
        <w:ind w:left="283"/>
      </w:pPr>
      <w:r>
        <w:rPr>
          <w:rFonts w:ascii="Calibri" w:hAnsi="Calibri"/>
          <w:b/>
          <w:color w:val="4A6B25"/>
          <w:sz w:val="20"/>
        </w:rPr>
        <w:t xml:space="preserve">3. </w:t>
      </w:r>
      <w:r>
        <w:rPr>
          <w:rFonts w:ascii="Calibri" w:hAnsi="Calibri"/>
          <w:b w:val="0"/>
          <w:color w:val="3A4A28"/>
          <w:sz w:val="20"/>
        </w:rPr>
        <w:t>AI disruption compressing revenue at software and technology companies within CLO loan portfolios could increase sector-specific default rates, disproportionately impacting CLO equity returns as first-loss tranches absorb realized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Eagle Point's core business of investing in CLO equity tranches is protected from direct AI disruption — structured credit investing requires deep expertise in loan-level credit analysis, CLO deal structuring, manager selection, and regulatory compliance that AI cannot easily replicate [2]. The relationship-based nature of CLO origination, legal complexity of indenture analysis, and judgment-intensive credit decisions create meaningful barriers to AI displacement. However, AI could automate portions of credit analysis and portfolio monitoring, potentially commoditizing some of the alpha Eagle Point generates. More significantly, AI disruption of the underlying borrowers in CLO portfolios (software companies, media firms, retail chains facing AI-driven business model disruption) could increase default rates and impair CLO equity returns — ECC's management acknowledged that 'AI disruption is compressing revenue at software companies' in their portfolio [2]. AI Opportunity (0/1): Eagle Point does not generate revenue from AI products or services. The fund is a pure financial intermediary with no technology product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Eagle Point Credit Q1 2026 Earnings Release — NAV $4.17/share (-26.8%), GAAP ROE -20.2%, Portfolio Composition, Distributions, May 2026</w:t>
      </w:r>
    </w:p>
    <w:p>
      <w:pPr>
        <w:spacing w:before="20" w:after="20"/>
        <w:ind w:left="170"/>
      </w:pPr>
      <w:r>
        <w:rPr>
          <w:rFonts w:ascii="Calibri" w:hAnsi="Calibri"/>
          <w:b/>
          <w:color w:val="4A6B25"/>
          <w:sz w:val="15"/>
        </w:rPr>
        <w:t xml:space="preserve">2. </w:t>
      </w:r>
      <w:r>
        <w:rPr>
          <w:rFonts w:ascii="Calibri" w:hAnsi="Calibri"/>
          <w:b w:val="0"/>
          <w:color w:val="3A4A28"/>
          <w:sz w:val="17"/>
        </w:rPr>
        <w:t>Eagle Point Credit Management — Tom Majewski 31-Year Track Record, $14B AUM, CLO Strategy, E&amp;Y Entrepreneur Award, Culture,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and Analyst Commentary — Eagle Point Credit Distribution Sustainability, NAV Decline Analysis, Structural Risks,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ECC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