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ECVT</w:t>
      </w:r>
      <w:r>
        <w:rPr>
          <w:rFonts w:ascii="Calibri" w:hAnsi="Calibri"/>
          <w:b/>
          <w:color w:val="1A2010"/>
          <w:sz w:val="40"/>
        </w:rPr>
        <w:t xml:space="preserve">  Ecovyst Inc.</w:t>
      </w:r>
    </w:p>
    <w:p>
      <w:pPr>
        <w:spacing w:after="120"/>
      </w:pPr>
      <w:r>
        <w:rPr>
          <w:rFonts w:ascii="Calibri" w:hAnsi="Calibri"/>
          <w:b/>
          <w:color w:val="6E8450"/>
          <w:sz w:val="18"/>
        </w:rPr>
        <w:t>GROWTH SLEEVE · 2026-07-25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Ecovyst provides virgin and regenerated sulfuric acid products and services for refinery alkylation, mining, water treatment, and industrial applications. The company also offers catalyst regeneration and recycling services. Founded in 1831 and formerly known as PQ Group Holdings, Ecovyst rebranded in 2021 to reflect its focus on sustainable, eco-friendly chemical solutions.</w:t>
      </w:r>
    </w:p>
    <w:p>
      <w:r>
        <w:rPr>
          <w:rFonts w:ascii="Calibri" w:hAnsi="Calibri"/>
          <w:b/>
          <w:color w:val="6E8450"/>
          <w:sz w:val="18"/>
        </w:rPr>
        <w:t>617 Employees · https://www.ecovyst.com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Ecovyst rebranded from PQ Group Holdings in 2021 and divested its silica catalyst business to focus on Ecoservices, but this was a simplification rather than a transformative pivot — the core sulfuric acid and regeneration business is structurally unchanged [1]. AI Deployment (0/2): No evidence of AI-powered products, services, or meaningful internal AI deployment; the company's operations are traditional chemical processing and regeneration services [2]. Market Share (1/2): Ecovyst holds a meaningful position in the North American sulfuric acid regeneration market, providing essential services to refineries, but is not a dominant category leader in the broader specialty chemicals sector [1]. Pipeline (1/2): Q1 2026 revenue surged 50.2% YoY to $215M and FY2026 guidance was raised to $890-970M revenue with adj EBITDA of $180-195M, driven by regeneration services demand, but no specific next-generation products or technologies with named timelines were announced [1]. R&amp;D Intensity (1/1): DCS furnace optimization systems reduced CO2 by 4,900 tonnes/year, and the 2024 Sustainability Report demonstrates above-average process innovation commitment for the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Ecovyst positions itself around sustainable chemical solutions with a rebranding that emphasizes eco-friendly operations and advancing the global shift toward sustainability — clear purpose but not distinctive, as sustainability is increasingly table stakes for chemical companies [3]. Community Impact (1/2): The company published its 2024 Sustainability Report aligned with GRI and SASB standards, has maintained zero Level 3 environmental releases since 2016, and supports UN SDGs, but no specific charitable programs or community investment dollar amounts were identified [3]. Employee Retention (0/2): Glassdoor rating of 3.2/5 with culture and values scoring 2.6/5 and only 51% of employees recommending the company is concerning; reviews cite 'constantly changing senior leadership,' 'poor communication and follow through,' and 'lack of transparency and clear goals' [2]. Insider Buying (1/2): CEO Kurt Bitting has led Ecovyst since 2022, having built the Ecoservices business over 15+ years, providing meaningful institutional knowledge and continuity, though no specific recent open-market insider purchases were confirmed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Ecovyst is at an earnings inflection point with Q1 2026 revenue surging 50.2% YoY to $215M, EPS of $0.11 beating consensus by 83%, and EBITDA up 87% [1]. However, trailing metrics remain weak: D/E of 65.3% is near the 70% target, but ROE of just 0.96% reflects barely positive returns, and trailing profit margin of -9.83% indicates the company was not consistently profitable in FY2025 [4]. The improving picture is reflected in raised FY2026 guidance: revenue $890-970M, adj EPS $0.50-0.65, and adj EBITDA $180-195M [1]. Revenue growth YoY of 50.2% (Q1 2026) demonstrates accelerating demand, but the 5yr revenue CAGR of -4.1% reflects the post-divestiture contraction [4]. Forward P/E of 19.2x is reasonable if the earnings inflection materializes. Liquidity floor cleared: 2.0M avg vol x $12.40 = $24.8M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Ecovyst shows limited infinite game thinking despite its 195-year heritage (founded 1831). The sustainability rebrand provides directional purpose, but Glassdoor data revealing constantly changing leadership, poor communication, and low culture scores fundamentally undermine the trusting teams foundation Sinek considers essential. The company's cause is pragmatic rather than inspirational, and competitive positioning lacks the self-improvement orientation that characterizes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Ecovyst's rebranding around sustainable chemistry and eco-friendly solutions articulates a purpose beyond pure profit, but the cause feels more like strategic positioning than deeply held conviction [3]. The company's 195-year history provides longevity but the sustainability focus is recent (post-2021 rebrand), and the mission is interchangeable with any peer in the chemical industry pursuing ESG goals.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data reveals significant trust deficits: culture and values scored 2.6/5, work-life balance 2.7/5, and only 51% of employees recommend the company [2]. Employees report 'constantly changing senior leadership,' 'poor communication and follow through,' and 'lack of transparency and clear goals.' With only 28-29 reviews from a 617-person workforce, the negative sentiment is concentrated but indicative of organizational dysfunction that Sinek would flag as a fundamental weakness.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Ecovyst acknowledging competitors' strengths or using rivalry as motivation for self-improvement. The company's competitive narrative focuses on its own sustainability credentials and service capabilities rather than learning from rivals in the specialty chemicals space [1].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divestiture of the silica catalyst business and rebrand from PQ Group Holdings to Ecovyst represents meaningful strategic flexibility — the company chose to simplify around its strongest business (Ecoservices) rather than maintaining a diversified conglomerate structure [1]. This was an incremental transformation rather than a dramatic reinvention, but it demonstrates willingness to reshape the company's identity and focus.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divest a significant business line (silica catalysts) and rebrand entirely around sustainability-focused chemical services required conviction, particularly when it temporarily reduced the revenue base and produced a negative 5yr CAGR [1]. Maintaining zero Level 3 environmental releases since 2016 while investing in emissions reduction demonstrates principled operational discipline [3].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Ecovyst is delivering a decisive earnings inflection with Q1 2026 revenue surging 50.2% YoY to $215M, EPS of $0.11 beating consensus by 83%, and adjusted EBITDA up 87% [1]. Management raised FY2026 guidance to $890-970M revenue and $180-195M adj EBITDA, with adj EPS of $0.50-0.65 representing a transformative improvement from the trailing $0.05 [1]. At $12.40 with a forward P/E of 19.2x and a $1.3B market cap, the stock is priced for the turnaround to continue but not yet for sustained growth. The Ecoservices business benefits from critical infrastructure positioning — refineries must regenerate sulfuric acid for clean fuel alkylation — creating recurring, essential-service revenue with high switching costs [3]. D/E of 65.3% is manageable and improving as profitability returns.</w:t>
      </w:r>
    </w:p>
    <w:p>
      <w:pPr>
        <w:spacing w:after="120"/>
      </w:pPr>
      <w:r>
        <w:rPr>
          <w:rFonts w:ascii="Calibri" w:hAnsi="Calibri"/>
          <w:b w:val="0"/>
          <w:color w:val="3A4A28"/>
          <w:sz w:val="20"/>
        </w:rPr>
        <w:t>The bear case centers on the company's track record of inconsistent profitability and organizational challenges. Trailing profit margin is -9.83%, ROE is a near-zero 0.96%, and the 5yr revenue CAGR of -4.1% reflects the post-divestiture contraction [4]. Glassdoor ratings of 3.2/5 with culture scored at 2.6/5 and employees citing poor leadership communication and high executive turnover create real execution risk during the critical earnings inflection phase [2]. The refinery services business is structurally tied to fossil fuel processing — as clean fuel regulations evolve and refineries potentially close over the long term, Ecovyst's core market faces secular headwinds. The revenue surge is partly driven by sulfur pass-through costs (~$155M), which inflate the top line without proportional margin contribution [1]. Success depends entirely on sustaining the operational momentum that produced the Q1 beat.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earnings inflection with raised guidance of $890-970M revenue and adj EPS $0.50-0.65, driven by refinery utilization recovery and regeneration services demand acceleration [1]</w:t>
      </w:r>
    </w:p>
    <w:p>
      <w:pPr>
        <w:spacing w:before="40" w:after="40"/>
        <w:ind w:left="283"/>
      </w:pPr>
      <w:r>
        <w:rPr>
          <w:rFonts w:ascii="Calibri" w:hAnsi="Calibri"/>
          <w:b/>
          <w:color w:val="4A6B25"/>
          <w:sz w:val="20"/>
        </w:rPr>
        <w:t xml:space="preserve">2. </w:t>
      </w:r>
      <w:r>
        <w:rPr>
          <w:rFonts w:ascii="Calibri" w:hAnsi="Calibri"/>
          <w:b w:val="0"/>
          <w:color w:val="3A4A28"/>
          <w:sz w:val="20"/>
        </w:rPr>
        <w:t>Adjusted EBITDA guidance raised to $180-195M (from $175-195M), with Q1 margins improving 87% YoY, demonstrating operating leverage as the Ecoservices business scales [1]</w:t>
      </w:r>
    </w:p>
    <w:p>
      <w:pPr>
        <w:spacing w:before="40" w:after="40"/>
        <w:ind w:left="283"/>
      </w:pPr>
      <w:r>
        <w:rPr>
          <w:rFonts w:ascii="Calibri" w:hAnsi="Calibri"/>
          <w:b/>
          <w:color w:val="4A6B25"/>
          <w:sz w:val="20"/>
        </w:rPr>
        <w:t xml:space="preserve">3. </w:t>
      </w:r>
      <w:r>
        <w:rPr>
          <w:rFonts w:ascii="Calibri" w:hAnsi="Calibri"/>
          <w:b w:val="0"/>
          <w:color w:val="3A4A28"/>
          <w:sz w:val="20"/>
        </w:rPr>
        <w:t>Regeneration services expansion into mining and water treatment provides revenue diversification beyond refinery-dependent sulfuric acid, reducing single-sector concentration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guidance miss risk — trailing P/E of 275x makes the stock entirely dependent on forward earnings delivery; any shortfall in the $0.50-0.65 EPS range would sharply reprice shares [4]</w:t>
      </w:r>
    </w:p>
    <w:p>
      <w:pPr>
        <w:spacing w:before="40" w:after="40"/>
        <w:ind w:left="283"/>
      </w:pPr>
      <w:r>
        <w:rPr>
          <w:rFonts w:ascii="Calibri" w:hAnsi="Calibri"/>
          <w:b/>
          <w:color w:val="4A6B25"/>
          <w:sz w:val="20"/>
        </w:rPr>
        <w:t xml:space="preserve">2. </w:t>
      </w:r>
      <w:r>
        <w:rPr>
          <w:rFonts w:ascii="Calibri" w:hAnsi="Calibri"/>
          <w:b w:val="0"/>
          <w:color w:val="3A4A28"/>
          <w:sz w:val="20"/>
        </w:rPr>
        <w:t>Long-term refinery structural decline — as energy transition reduces crude oil refining volumes over the coming decades, the sulfuric acid regeneration business faces secular demand headwinds [1]</w:t>
      </w:r>
    </w:p>
    <w:p>
      <w:pPr>
        <w:spacing w:before="40" w:after="40"/>
        <w:ind w:left="283"/>
      </w:pPr>
      <w:r>
        <w:rPr>
          <w:rFonts w:ascii="Calibri" w:hAnsi="Calibri"/>
          <w:b/>
          <w:color w:val="4A6B25"/>
          <w:sz w:val="20"/>
        </w:rPr>
        <w:t xml:space="preserve">3. </w:t>
      </w:r>
      <w:r>
        <w:rPr>
          <w:rFonts w:ascii="Calibri" w:hAnsi="Calibri"/>
          <w:b w:val="0"/>
          <w:color w:val="3A4A28"/>
          <w:sz w:val="20"/>
        </w:rPr>
        <w:t>Cultural and leadership instability — Glassdoor reviews citing constantly changing leadership (2.6/5 culture score) and only 51% recommendation rate create execution risk during the critical growth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Ecovyst's core business — manufacturing and regenerating sulfuric acid for refinery alkylation, mining, and water treatment — is entirely physical and cannot be substituted by AI [1]. Sulfuric acid is the most-produced industrial chemical in the world, essential for refining gasoline (alkylation produces high-octane clean fuel), extracting metals in mining, and treating water. Refineries cannot replace acid regeneration with software. Environmental regulations around hazardous chemical handling create deep regulatory moats that AI does not bypass. AI data center growth may increase electricity demand, indirectly supporting refinery utilization. AI Opportunity (0/1): No evidence of AI-generated revenue; Ecovyst is a traditional chemical manufacturing and services company with no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Ecovyst Q1 2026 Earnings Release and Presentation — $215M revenue (up 50.2%), $0.11 EPS (beat by 83%), EBITDA up 87%, raised FY2026 guidance, May 5,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(3.2/5, 28-29 reviews) — culture 2.6/5, 51% recommend; CEO Kurt Bitting 15+ year Ecoservices veteran</w:t>
      </w:r>
    </w:p>
    <w:p>
      <w:pPr>
        <w:spacing w:before="20" w:after="20"/>
        <w:ind w:left="170"/>
      </w:pPr>
      <w:r>
        <w:rPr>
          <w:rFonts w:ascii="Calibri" w:hAnsi="Calibri"/>
          <w:b/>
          <w:color w:val="4A6B25"/>
          <w:sz w:val="15"/>
        </w:rPr>
        <w:t xml:space="preserve">3. </w:t>
      </w:r>
      <w:r>
        <w:rPr>
          <w:rFonts w:ascii="Calibri" w:hAnsi="Calibri"/>
          <w:b w:val="0"/>
          <w:color w:val="3A4A28"/>
          <w:sz w:val="17"/>
        </w:rPr>
        <w:t>Ecovyst 2024 Sustainability Report — zero Level 3 environmental releases since 2016, CO2 reduction, GRI/SASB alignment, July 2025</w:t>
      </w:r>
    </w:p>
    <w:p>
      <w:pPr>
        <w:spacing w:before="20" w:after="20"/>
        <w:ind w:left="170"/>
      </w:pPr>
      <w:r>
        <w:rPr>
          <w:rFonts w:ascii="Calibri" w:hAnsi="Calibri"/>
          <w:b/>
          <w:color w:val="4A6B25"/>
          <w:sz w:val="15"/>
        </w:rPr>
        <w:t xml:space="preserve">4. </w:t>
      </w:r>
      <w:r>
        <w:rPr>
          <w:rFonts w:ascii="Calibri" w:hAnsi="Calibri"/>
          <w:b w:val="0"/>
          <w:color w:val="3A4A28"/>
          <w:sz w:val="17"/>
        </w:rPr>
        <w:t>Market data for ECVT — stock price, volume, financial ratios, accessed July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