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EFC</w:t>
      </w:r>
      <w:r>
        <w:rPr>
          <w:rFonts w:ascii="Calibri" w:hAnsi="Calibri"/>
          <w:b/>
          <w:color w:val="1A2010"/>
          <w:sz w:val="40"/>
        </w:rPr>
        <w:t xml:space="preserve">  Ellington Financial Inc.</w:t>
      </w:r>
    </w:p>
    <w:p>
      <w:pPr>
        <w:spacing w:after="120"/>
      </w:pPr>
      <w:r>
        <w:rPr>
          <w:rFonts w:ascii="Calibri" w:hAnsi="Calibri"/>
          <w:b/>
          <w:color w:val="6E8450"/>
          <w:sz w:val="18"/>
        </w:rPr>
        <w:t>DIVIDEND SLEEVE · 2026-07-16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Mortgage Finance · NYSE · United States</w:t>
      </w:r>
    </w:p>
    <w:p>
      <w:pPr>
        <w:spacing w:after="80"/>
      </w:pPr>
      <w:r>
        <w:rPr>
          <w:rFonts w:ascii="Calibri" w:hAnsi="Calibri"/>
          <w:b w:val="0"/>
          <w:color w:val="3A4A28"/>
          <w:sz w:val="20"/>
        </w:rPr>
        <w:t>Ellington Financial is a specialty finance company that acquires and manages a diversified portfolio of financial assets including residential mortgage loans, commercial mortgage loans, reverse mortgage loans, consumer loans, and mortgage-backed securities. The company is externally managed and advised by Ellington Financial Management LLC, an affiliate of Ellington Management Group, a quantitative investment manager founded in 1994. EFC expanded significantly through its acquisitions of Arlington Asset Investment Corp. in 2023 and Great Ajax Corp. in 2024.</w:t>
      </w:r>
    </w:p>
    <w:p>
      <w:r>
        <w:rPr>
          <w:rFonts w:ascii="Calibri" w:hAnsi="Calibri"/>
          <w:b/>
          <w:color w:val="6E8450"/>
          <w:sz w:val="18"/>
        </w:rPr>
        <w:t>100 Employees · https://www.ellingtonfinancial.com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EFC completed transformational acquisitions of Arlington Asset Investment Corp. (2023) and Great Ajax Corp. (2024), diversifying its portfolio from a primarily agency MBS-focused strategy into a broader credit platform spanning residential, commercial, and consumer loans [1]. This represents meaningful business model evolution, though acquisition-driven growth is common among mortgage REITs rather than genuinely innovative. AI Deployment (0/2): No AI products, platforms, or quantified AI-driven efficiency gains have been disclosed; EFC's investment process relies on Ellington Management Group's quantitative models but these predate the AI era [2]. Market Share (0/2): EFC is a mid-sized mortgage REIT with a market cap of approximately $1.4B, far smaller than category leaders like Annaly Capital ($10B+) or AGNC Investment ($7B+); the company is a meaningful participant but not a market share leader [1]. Pipeline (0/2): No next-generation products or specific growth pipeline beyond general portfolio expansion have been disclosed; the investment strategy is opportunistic rather than product-driven [1]. R&amp;D Intensity (0/1): Financial companies do not have traditional R&amp;D expenditures, and EFC's external management structure means innovation spending, if any, resides at Ellington Management Group.</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Ellington Management Group's stated purpose is 'Protecting and Growing Institutional Capital Across Credit Cycles' — a clear description of the business but entirely functional and interchangeable with any competing asset manager, with no articulation of a purpose beyond financial returns [2]. Community Impact (0/2): EFC is a UN PRI signatory through its parent Ellington Management Group and has general ESG policies, but no specific charitable programs, foundation, or distinctive community investment initiatives were identified [3]. Employee Retention (2/2): CEO Larry Penn has served since August 2007, an extraordinary tenure of 18.7 years through the Global Financial Crisis, COVID, and multiple credit cycles; the management team averages 10.8 years of tenure and the board averages 18.7 years, signaling deep institutional commitment and stability [2]. Insider Buying (0/2): No specific data on net insider buying or selling by EFC executives was found in available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EFC's financial profile reflects the leveraged nature of mortgage REIT operations with strong profitability offset by extreme leverage and unsustainable dividend coverage. Q1 2026 net income of $95.5M ($0.78/share) on $61.3M net interest income demonstrated strong quarterly performance, though this pace may not be sustainable [1]. Forward P/E of 7.19x and TTM profit margin of 45.9% appear attractive, but the 921% D/E ratio (including securitization-related non-recourse debt) and 117% payout ratio raise sustainability concerns [4]. Book value per share of $13.56 versus stock price of $13.18 implies a slight discount to book. Mechanically scored (Dividend): D/E 921% scores 0.0 (1x), ROE 12.25% scores 0.82 (1x), Revenue Growth YoY 9.88% scores 1.0 (1x), Revenue Growth 5yr CAGR excluded as null, Forward P/E 7.19 scores 1.0 (1x), Profit Margin 45.9% scores 1.0 (1x), Payout Ratio 117% scores 0.0 (1x), Consecutive Years Paid 16 scores 1.0 (2x), Consecutive Years Growth 0 scores 0.0 (1x), 5yr Dividend Growth CAGR -5% scores 0.0 (2x). Weighted sum = 5.82, max weighted sum = 11 (excluding 5yr CAGR), score = 5.29, rounds to 5. Liquidity cleared: 1.5M avg vol x $13.18 = $19.8M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Ellington Financial operates with a fundamentally finite mindset oriented around financial returns rather than a purpose beyond profit. The company's external management structure, lack of articulated mission beyond capital preservation, and focus on opportunistic credit investing reflect a transactional approach to business. The exceptional management tenure provides stability, but without a Just Cause, EFC optimizes quarter-to-quarter rather than building for permanence.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EFC exists to 'protect and grow institutional capital across credit cycles' — a description of what it does, not why it exists. There is no articulated vision of a better future, no purpose beyond generating returns for investors, and no evidence that strategic decisions are guided by anything other than risk-adjusted yield optimization [2]. The external management structure reinforces the transactional nature — the manager is compensated on AUM, not on advancing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exceptional leadership stability at EFC — CEO Larry Penn's 18.7-year tenure, management team averaging 10.8 years, board averaging 18.7 years — signals organizational trust and continuity [2]. People stay at Ellington for extended periods, suggesting a functional and collegial working environment. However, the external management structure means EFC's workforce is effectively borrowed from Ellington Management Group, making traditional trust-building within the company itself difficult to assess.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EFC operates in a crowded mortgage REIT space alongside Annaly Capital, AGNC Investment, and others, but no evidence was found of management acknowledging competitors' strengths or using competitive dynamics as motivation for self-improvement. The competitive language, where present, focuses on EFC's own portfolio differentiation rather than learning from rivals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EFC has meaningfully evolved its business model over the past five years, expanding from a primarily agency MBS-focused strategy into a diversified credit platform through the acquisitions of Arlington Asset (2023) and Great Ajax (2024), adding residential transition loans, commercial mortgage bridge loans, and other credit strategies [1]. This diversification demonstrates strategic adaptability. However, the changes were incremental portfolio expansion rather than a transformative reinvention of the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Larry Penn navigated EFC through the 2008 Global Financial Crisis, the 2020 COVID-driven mortgage market dislocation, and executed two significant acquisitions (Arlington 2023, Great Ajax 2024) to transform the company's credit platform [1][2]. Maintaining the company through multiple credit cycles while expanding into new strategies demonstrates some willingness to invest for the long term. However, the external management structure creates inherent conflicts of interest (management fees grow with AUM, not performance), and no examples of sacrificing near-term revenue for long-term capability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Ellington Financial offers an attractive 11.76% dividend yield trading at $13.18, a slight discount to book value of $13.56, with a low forward P/E of 7.19x [4]. Q1 2026 was strong with net income of $95.5M ($0.78/share), driven by net interest income growth to $61.3M from $43.3M, reflecting benefits from the Arlington and Great Ajax acquisitions that diversified EFC's credit platform across residential, commercial, and consumer loans [1]. CEO Larry Penn's 18.7-year tenure through multiple credit cycles provides leadership continuity, and the parent Ellington Management Group's quantitative expertise underpins disciplined risk management. The 2025 full-year revenue of $333M (+9.88% YoY) and TTM net margin of 45.9% demonstrate that the expanded portfolio is generating meaningful income [1].</w:t>
      </w:r>
    </w:p>
    <w:p>
      <w:pPr>
        <w:spacing w:after="120"/>
      </w:pPr>
      <w:r>
        <w:rPr>
          <w:rFonts w:ascii="Calibri" w:hAnsi="Calibri"/>
          <w:b w:val="0"/>
          <w:color w:val="3A4A28"/>
          <w:sz w:val="20"/>
        </w:rPr>
        <w:t>The bear case is substantial and structural. The 117% payout ratio means EFC is paying out more in dividends than it earns, a mathematically unsustainable position that virtually guarantees future dividend cuts — the 5-year dividend growth CAGR of -5% confirms an ongoing pattern of reductions [4]. The 921% D/E ratio, while typical for leveraged mortgage REITs, creates extreme sensitivity to interest rate movements and credit spreads; even modest rate volatility can whipsaw book value and earnings. The external management structure creates inherent conflicts of interest — Ellington Management Group earns fees based on AUM rather than shareholder returns, incentivizing asset growth over capital efficiency [2][3]. Revenue for mortgage REITs is inherently volatile and dependent on the shape of the yield curve, credit spreads, and prepayment speeds — metrics that can swing violently in any direction. The acquisitions of Arlington and Great Ajax, while diversifying, added integration complexity and may have been motivated partly by the manager's desire to grow fee-eligible assets.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Strong Q1 2026 performance with $0.78 EPS and net interest income growth to $61.3M suggests the diversified credit platform from Arlington and Great Ajax acquisitions is generating scale benefits [1]</w:t>
      </w:r>
    </w:p>
    <w:p>
      <w:pPr>
        <w:spacing w:before="40" w:after="40"/>
        <w:ind w:left="283"/>
      </w:pPr>
      <w:r>
        <w:rPr>
          <w:rFonts w:ascii="Calibri" w:hAnsi="Calibri"/>
          <w:b/>
          <w:color w:val="4A6B25"/>
          <w:sz w:val="20"/>
        </w:rPr>
        <w:t xml:space="preserve">2. </w:t>
      </w:r>
      <w:r>
        <w:rPr>
          <w:rFonts w:ascii="Calibri" w:hAnsi="Calibri"/>
          <w:b w:val="0"/>
          <w:color w:val="3A4A28"/>
          <w:sz w:val="20"/>
        </w:rPr>
        <w:t>Book value discount — stock trading at $13.18 vs $13.56 book value offers a modest margin of safety if credit markets remain stable [4]</w:t>
      </w:r>
    </w:p>
    <w:p>
      <w:pPr>
        <w:spacing w:before="40" w:after="40"/>
        <w:ind w:left="283"/>
      </w:pPr>
      <w:r>
        <w:rPr>
          <w:rFonts w:ascii="Calibri" w:hAnsi="Calibri"/>
          <w:b/>
          <w:color w:val="4A6B25"/>
          <w:sz w:val="20"/>
        </w:rPr>
        <w:t xml:space="preserve">3. </w:t>
      </w:r>
      <w:r>
        <w:rPr>
          <w:rFonts w:ascii="Calibri" w:hAnsi="Calibri"/>
          <w:b w:val="0"/>
          <w:color w:val="3A4A28"/>
          <w:sz w:val="20"/>
        </w:rPr>
        <w:t>Potential for interest rate cuts or yield curve steepening could significantly boost mortgage REIT earnings by widening net interest margins across the expanded loan portfolio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Mathematically unsustainable 117% payout ratio with negative 5-year dividend growth CAGR of -5% makes further dividend cuts highly probable, threatening the income thesis that drives most EFC investors [4]</w:t>
      </w:r>
    </w:p>
    <w:p>
      <w:pPr>
        <w:spacing w:before="40" w:after="40"/>
        <w:ind w:left="283"/>
      </w:pPr>
      <w:r>
        <w:rPr>
          <w:rFonts w:ascii="Calibri" w:hAnsi="Calibri"/>
          <w:b/>
          <w:color w:val="4A6B25"/>
          <w:sz w:val="20"/>
        </w:rPr>
        <w:t xml:space="preserve">2. </w:t>
      </w:r>
      <w:r>
        <w:rPr>
          <w:rFonts w:ascii="Calibri" w:hAnsi="Calibri"/>
          <w:b w:val="0"/>
          <w:color w:val="3A4A28"/>
          <w:sz w:val="20"/>
        </w:rPr>
        <w:t>Extreme leverage at 921% D/E (including non-recourse securitization debt) creates acute sensitivity to interest rate movements, credit spread widening, and liquidity disruptions that could rapidly erode book value [4]</w:t>
      </w:r>
    </w:p>
    <w:p>
      <w:pPr>
        <w:spacing w:before="40" w:after="40"/>
        <w:ind w:left="283"/>
      </w:pPr>
      <w:r>
        <w:rPr>
          <w:rFonts w:ascii="Calibri" w:hAnsi="Calibri"/>
          <w:b/>
          <w:color w:val="4A6B25"/>
          <w:sz w:val="20"/>
        </w:rPr>
        <w:t xml:space="preserve">3. </w:t>
      </w:r>
      <w:r>
        <w:rPr>
          <w:rFonts w:ascii="Calibri" w:hAnsi="Calibri"/>
          <w:b w:val="0"/>
          <w:color w:val="3A4A28"/>
          <w:sz w:val="20"/>
        </w:rPr>
        <w:t>External management structure creates structural conflict of interest — Ellington Management Group earns fees on AUM rather than performance, incentivizing asset growth and acquisitions that may not maximize shareholder returns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EFC's core business of acquiring and managing credit assets through quantitative investment strategies faces moderate AI exposure. AI could enhance credit analytics, underwriting, and portfolio management — creating competitive pressure from AI-native lending platforms — but the capital-intensive nature of mortgage REIT operations, regulatory requirements, and the need for balance sheet capacity create meaningful defensive moats [1][2]. EFC's parent Ellington Management Group already employs quantitative models, and the transition to AI-enhanced analytics represents evolution rather than disruption. The company's diversified credit portfolio across residential, commercial, and consumer loans provides resilience, though AI-driven automated underwriting platforms could eventually compress lending spreads. AI Opportunity (0/1): EFC does not generate revenue from AI products or services; while the parent Ellington Management Group may use advanced analytics, no specific AI-driven revenue contribution or quantified efficiency gains have been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Ellington Financial Q1 2026 Earnings Release — net income $95.5M ($0.78/share), net interest income $61.3M (vs $43.3M prior year), book value $13.56/share, recourse D/E 1.9:1, May 2026</w:t>
      </w:r>
    </w:p>
    <w:p>
      <w:pPr>
        <w:spacing w:before="20" w:after="20"/>
        <w:ind w:left="170"/>
      </w:pPr>
      <w:r>
        <w:rPr>
          <w:rFonts w:ascii="Calibri" w:hAnsi="Calibri"/>
          <w:b/>
          <w:color w:val="4A6B25"/>
          <w:sz w:val="15"/>
        </w:rPr>
        <w:t xml:space="preserve">2. </w:t>
      </w:r>
      <w:r>
        <w:rPr>
          <w:rFonts w:ascii="Calibri" w:hAnsi="Calibri"/>
          <w:b w:val="0"/>
          <w:color w:val="3A4A28"/>
          <w:sz w:val="17"/>
        </w:rPr>
        <w:t>Ellington Financial Leadership and Management — CEO Larry Penn 18.7-year tenure, management team avg tenure 10.8 years, board avg tenure 18.7 years, externally managed by Ellington Management Group (founded 1994), July 2026</w:t>
      </w:r>
    </w:p>
    <w:p>
      <w:pPr>
        <w:spacing w:before="20" w:after="20"/>
        <w:ind w:left="170"/>
      </w:pPr>
      <w:r>
        <w:rPr>
          <w:rFonts w:ascii="Calibri" w:hAnsi="Calibri"/>
          <w:b/>
          <w:color w:val="4A6B25"/>
          <w:sz w:val="15"/>
        </w:rPr>
        <w:t xml:space="preserve">3. </w:t>
      </w:r>
      <w:r>
        <w:rPr>
          <w:rFonts w:ascii="Calibri" w:hAnsi="Calibri"/>
          <w:b w:val="0"/>
          <w:color w:val="3A4A28"/>
          <w:sz w:val="17"/>
        </w:rPr>
        <w:t>Ellington Financial ESG and Governance — UN PRI signatory, responsible investment policy, ESG factors in investment process, SEC ESG task force risk disclosure, 2024-2026</w:t>
      </w:r>
    </w:p>
    <w:p>
      <w:pPr>
        <w:spacing w:before="20" w:after="20"/>
        <w:ind w:left="170"/>
      </w:pPr>
      <w:r>
        <w:rPr>
          <w:rFonts w:ascii="Calibri" w:hAnsi="Calibri"/>
          <w:b/>
          <w:color w:val="4A6B25"/>
          <w:sz w:val="15"/>
        </w:rPr>
        <w:t xml:space="preserve">4. </w:t>
      </w:r>
      <w:r>
        <w:rPr>
          <w:rFonts w:ascii="Calibri" w:hAnsi="Calibri"/>
          <w:b w:val="0"/>
          <w:color w:val="3A4A28"/>
          <w:sz w:val="17"/>
        </w:rPr>
        <w:t>Ellington Financial Valuation and Dividend — stock $13.18, PE 8.21, Forward PE 7.19, D/E 921.24%, ROE 12.25%, dividend yield 11.76%, payout ratio 117%, 2025 revenue $333M (+9.88%),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