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EIX</w:t>
      </w:r>
      <w:r>
        <w:rPr>
          <w:rFonts w:ascii="Calibri" w:hAnsi="Calibri"/>
          <w:b/>
          <w:color w:val="1A2010"/>
          <w:sz w:val="40"/>
        </w:rPr>
        <w:t xml:space="preserve">  Edison International</w:t>
      </w:r>
    </w:p>
    <w:p>
      <w:pPr>
        <w:spacing w:after="120"/>
      </w:pPr>
      <w:r>
        <w:rPr>
          <w:rFonts w:ascii="Calibri" w:hAnsi="Calibri"/>
          <w:b/>
          <w:color w:val="6E8450"/>
          <w:sz w:val="18"/>
        </w:rPr>
        <w:t>GROWTH SLEEVE · 2026-08-28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Edison International is the parent company of Southern California Edison (SCE), one of the largest electric utilities in the United States, serving approximately 5 million customer accounts across a 50,000-square-mile service territory in central, coastal, and southern California. Under CEO Pedro Pizarro, the company is navigating significant wildfire litigation while executing a grid modernization and clean energy transition strategy. Q2 2026 core EPS jumped 59% to $1.54, bringing YTD core EPS to $2.97, and management reaffirmed FY2026 core EPS guidance of $5.90-$6.20 with a long-term 5-7% growth target through 2030. The Eaton Fire Wildfire Recovery Compensation Program has extended $775 million in offers to over 2,200 community members.</w:t>
      </w:r>
    </w:p>
    <w:p>
      <w:r>
        <w:rPr>
          <w:rFonts w:ascii="Calibri" w:hAnsi="Calibri"/>
          <w:b/>
          <w:color w:val="6E8450"/>
          <w:sz w:val="18"/>
        </w:rPr>
        <w:t>13,500 Employees · https://www.edison.com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Edison has executed steady grid modernization and wildfire mitigation investments, including a $2.5B RAMP (Risk Assessment and Mitigation Phase) investment for infrastructure replacement and grid hardening, and completed a $2B Woolsey Fire securitization [1]. These represent necessary operational improvements rather than transformative business model pivots. AI Deployment (1/2): Edison appointed a new independent director to strengthen AI and digital transformation oversight, and the company is exploring partnerships with Microsoft, Google, and AWS for AI-powered grid optimization [3]. However, no specific AI products or quantified AI-driven savings have been publicly reported. Market Share (2/2): Southern California Edison holds a regulated monopoly in its 50,000-square-mile service territory, serving ~5 million customer accounts with no competitive threat to its core franchise [1]. Product Pipeline (1/2): The $2.5B RAMP investment and 7% rate base growth plan provide infrastructure investment visibility, and the clean energy transition roadmap includes specific capacity additions [1]. However, these are regulatory capital expenditure programs rather than new product launches. R&amp;D Intensity (0/1): Utilities generally invest minimally in R&amp;D relative to revenue, relying on vendor technology and regulatory cost recovery mechanisms rather than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Edison International's purpose centers on providing clean, reliable, and affordable energy to Southern California communities, a mission that CEO Pedro Pizarro has championed through climate leadership and clean energy advocacy. The company has been operating since 1886, giving it a 140-year history of community service [3]. However, the mission is standard for a regulated utility and does not articulate a transformative vision. Community Impact (1/2): Edison's Wildfire Recovery Compensation Program extended $775 million in offers to over 2,200 Eaton Fire-affected community members, demonstrating meaningful post-disaster community support [1]. However, the company is also the alleged cause of the fires (LA County sued alleging Edison 'deliberately prioritized profits over safety'), creating a deeply mixed community impact record [2]. The company emphasizes cultural diversity in leadership as 'an important driver of success.' Employee Retention (0/2): No specific retention or tenure data was found for Edison International.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metrics (portfolio-assigned sleeve). Edison's Forward P/E of ~12.3 (based on $5.90-$6.20 core EPS guidance midpoint) is well below the 20x target [4]. ROE of 24.10% exceeds the 15% target, and profit margin of 23.08% exceeds the 20% target — both strong for a utility, partly reflecting one-time items in the trailing period [4]. Revenue growth YoY of ~10% meets the target, and the 5-year revenue CAGR of 7.36% represents solid growth for a regulated utility. D/E of 216% is elevated (scoring 0.365 on a 0-1 scale), reflecting the capital-intensive nature of utility infrastructure with $41.55B in total debt [4]. Forward PEG (estimated at ~2.0 based on 12.3x Forward PE and 6% EPS growth guidance) scores moderately against the 1.0 target. Liquidity is ample at ~$462M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Edison International carries the weight of 140 years of continuous operation, lending inherent credibility to its long-term orientation. CEO Pedro Pizarro has been a consistent champion of clean energy transition and climate policy, positioning Edison as a forward-looking utility. However, the company's wildfire liabilities — including the Eaton Fire that allegedly resulted from equipment that Edison 'deliberately prioritized profits over safety' to maintain — reveal a tension between long-term infrastructure investment and near-term cost optimization. The $775M wildfire compensation program demonstrates accountability, but the underlying question of whether preventive maintenance was deferred for financial reasons is a finite-game concern.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Edison's 140-year history of powering Southern California communities, combined with CEO Pizarro's advocacy for clean energy and climate policy, establishes a genuine purpose that transcends quarterly earnings [3]. The company's commitment to grid hardening ($2.5B RAMP investment) and clean energy transition reflects decisions guided by long-term community service. However, the wildfire controversies undermine the cause — LA County's allegation that Edison 'deliberately prioritized profits over safety' directly contradicts the purpose of reliable community service [2]. The cause has survived 140 years but is currently being tested in the most consequential way.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Edison emphasizes cultural diversity as a strategic asset, with leadership representing 'a mix of ethnic backgrounds, generational ties, gender, and life experiences' [3]. The board refresh (adding M. Susan Hardwick as independent director) signals governance investment during a challenging period. However, no specific data on employee tenure, voluntary turnover, or workplace satisfaction was found. Utilities face the organizational challenge of regulatory inertia and risk-averse cultures that can limit employee empowerment and innovation.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Edison's competitive dynamic reflects an improvement-oriented mindset. As a regulated monopoly, the company competes for regulatory approval and capital rather than customers, and its acknowledgment of the need to partner with technology companies (Microsoft, Google, AWS) for grid innovation demonstrates willingness to learn from strengths outside the utility industry [3]. CEO Pizarro's engagement with climate policy and industry leadership positions reflect a desire to elevate the entire utility sector.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Edison is executing a significant clean energy transition, shifting its generation mix toward renewables and investing in grid modernization and wildfire mitigation technologies [1][3]. The $2B Woolsey Fire securitization demonstrates financial adaptability in addressing legacy liabilities. However, Edison remains fundamentally a regulated electric utility — the evolution is in how it generates and distributes power, not a reinvention of the business model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Edison committed $2.5B to the RAMP wildfire mitigation investment despite near-term cost pressure, and the $775M Wildfire Recovery Compensation Program demonstrates willingness to address community obligations proactively [1][2]. CEO Pizarro has been a vocal advocate for climate policy and clean energy transition, taking public positions that may conflict with short-term regulatory or political pressures. However, the underlying allegation that Edison deferred preventive maintenance to protect margins — leading to catastrophic wildfire outcomes — raises questions about whether courageous leadership extended to making costly maintenance investments before they became legally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Edison International at ~12x forward core earnings offers a deeply discounted regulated utility with significant upside if wildfire liabilities resolve favorably. Q2 2026 core EPS surged 59% to $1.54, and FY2026 guidance of $5.90-$6.20 puts the stock at ~12x forward — a substantial discount to utility peers trading at 18-20x [1]. ROE of 24.10% and profit margin of 23.08% are among the strongest in the utility sector [4]. The 5-7% long-term EPS growth target through 2030, supported by 7% rate base growth and the $2.5B RAMP grid hardening investment, provides a clear earnings trajectory [1]. The ALIGNED Inspire Impact Score (37) with no negative attributions and 14 positive ESG categories makes EIX accessible to faith-based mandates. The Eaton Fire judge has balked at holding Edison liable, and a dismissed shareholder lawsuit suggests the legal risk may be more manageable than the stock price implies [2].</w:t>
      </w:r>
    </w:p>
    <w:p>
      <w:pPr>
        <w:spacing w:after="120"/>
      </w:pPr>
      <w:r>
        <w:rPr>
          <w:rFonts w:ascii="Calibri" w:hAnsi="Calibri"/>
          <w:b w:val="0"/>
          <w:color w:val="3A4A28"/>
          <w:sz w:val="20"/>
        </w:rPr>
        <w:t>The bear case is dominated by wildfire liability risk that overshadows otherwise strong fundamentals. LA County sued Edison alleging the company 'deliberately prioritized profits over safety' in the Eaton Fire, and over 12,300 individuals have presented claims through the voluntary compensation program with $775M in offers already extended — total liabilities could be multiples of this amount [2]. D/E of 216% is the highest among major U.S. utilities, reflecting $41.55B in total debt against $158M in cash, leaving minimal financial cushion for adverse wildfire outcomes [4]. The trailing P/E of 7.37x vs. forward P/E of 12.3x signals the market expects earnings to decline from the trailing period (which likely included one-time gains), normalizing to a more modest growth profile. The 5-year revenue CAGR of 7.36% is solid but reflects California rate increases rather than organic demand growth, and regulatory resistance to rate hikes could constrain future growth. Southern California's wildfire risk creates a unique business model vulnerability — no other major U.S. utility faces the same existential equipment liability risk from climate-driven events. The inverse condemnation doctrine in California means Edison can be held liable even without negligence, creating tail risk that is difficult to quantify.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Favorable wildfire litigation outcomes — a judge has already balked at holding Edison liable for the Eaton Fire, and a shareholder lawsuit was dismissed, suggesting the legal environment may be more favorable than the stock discount implies [2]</w:t>
      </w:r>
    </w:p>
    <w:p>
      <w:pPr>
        <w:spacing w:before="40" w:after="40"/>
        <w:ind w:left="283"/>
      </w:pPr>
      <w:r>
        <w:rPr>
          <w:rFonts w:ascii="Calibri" w:hAnsi="Calibri"/>
          <w:b/>
          <w:color w:val="4A6B25"/>
          <w:sz w:val="20"/>
        </w:rPr>
        <w:t xml:space="preserve">2. </w:t>
      </w:r>
      <w:r>
        <w:rPr>
          <w:rFonts w:ascii="Calibri" w:hAnsi="Calibri"/>
          <w:b w:val="0"/>
          <w:color w:val="3A4A28"/>
          <w:sz w:val="20"/>
        </w:rPr>
        <w:t>California wildfire reform legislation, if enacted, could restructure the inverse condemnation framework and reduce Edison's future equipment liability exposure, removing the primary valuation overhang [1]</w:t>
      </w:r>
    </w:p>
    <w:p>
      <w:pPr>
        <w:spacing w:before="40" w:after="40"/>
        <w:ind w:left="283"/>
      </w:pPr>
      <w:r>
        <w:rPr>
          <w:rFonts w:ascii="Calibri" w:hAnsi="Calibri"/>
          <w:b/>
          <w:color w:val="4A6B25"/>
          <w:sz w:val="20"/>
        </w:rPr>
        <w:t xml:space="preserve">3. </w:t>
      </w:r>
      <w:r>
        <w:rPr>
          <w:rFonts w:ascii="Calibri" w:hAnsi="Calibri"/>
          <w:b w:val="0"/>
          <w:color w:val="3A4A28"/>
          <w:sz w:val="20"/>
        </w:rPr>
        <w:t>Rate base growth of 7% through the $2.5B RAMP investment and grid hardening program, providing steady regulated earnings growth that compounds through the 5-7% EPS growth target to 2030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Eaton Fire wildfire liabilities remain unresolved — LA County alleges Edison 'deliberately prioritized profits over safety,' and 12,300+ individuals have presented claims with total exposure potentially in the billions, which could overwhelm the California Wildfire Fund and require direct Edison liability [2]</w:t>
      </w:r>
    </w:p>
    <w:p>
      <w:pPr>
        <w:spacing w:before="40" w:after="40"/>
        <w:ind w:left="283"/>
      </w:pPr>
      <w:r>
        <w:rPr>
          <w:rFonts w:ascii="Calibri" w:hAnsi="Calibri"/>
          <w:b/>
          <w:color w:val="4A6B25"/>
          <w:sz w:val="20"/>
        </w:rPr>
        <w:t xml:space="preserve">2. </w:t>
      </w:r>
      <w:r>
        <w:rPr>
          <w:rFonts w:ascii="Calibri" w:hAnsi="Calibri"/>
          <w:b w:val="0"/>
          <w:color w:val="3A4A28"/>
          <w:sz w:val="20"/>
        </w:rPr>
        <w:t>D/E of 216% ($41.55B debt vs $158M cash) leaves minimal financial cushion for adverse wildfire outcomes, and additional capital raises or securitizations could dilute shareholders or increase interest costs [4]</w:t>
      </w:r>
    </w:p>
    <w:p>
      <w:pPr>
        <w:spacing w:before="40" w:after="40"/>
        <w:ind w:left="283"/>
      </w:pPr>
      <w:r>
        <w:rPr>
          <w:rFonts w:ascii="Calibri" w:hAnsi="Calibri"/>
          <w:b/>
          <w:color w:val="4A6B25"/>
          <w:sz w:val="20"/>
        </w:rPr>
        <w:t xml:space="preserve">3. </w:t>
      </w:r>
      <w:r>
        <w:rPr>
          <w:rFonts w:ascii="Calibri" w:hAnsi="Calibri"/>
          <w:b w:val="0"/>
          <w:color w:val="3A4A28"/>
          <w:sz w:val="20"/>
        </w:rPr>
        <w:t>California's inverse condemnation doctrine holds utilities liable for wildfire damages regardless of negligence, creating a unique and structurally uninsurable business model risk that no operational improvements can fully eliminate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Edison International's core utility business is structurally immune to AI disruption. The generation, transmission, and distribution of electricity to 5 million customer accounts requires physical infrastructure (power plants, transmission lines, substations, distribution networks) that AI cannot displace. The regulated monopoly structure provides a franchise moat with no competitive mechanism for AI-driven displacement. AI data centers are increasing electricity demand in Southern California, making Edison a beneficiary rather than a victim of AI adoption [3]. However, Edison scores slightly below the maximum because Southern California's wildfire risk and grid constraints may limit the company's ability to fully capitalize on AI-driven demand growth, and the regulatory/legal environment creates uncertainty about the pace of grid expansion. Analysts do not flag AI disruption as a risk for regulated utilities. AI Opportunity (1/1): Edison is positioned to benefit from AI-driven data center electricity demand in its Southern California service territory, and the company is implementing AI/digital solutions for grid management, predictive maintenance, and wildfire detection systems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Edison International Q2 2026 Earnings — Core EPS $1.54 (+59% YoY), YTD $2.97, FY2026 Guidance $5.90-$6.20, 5-7% Long-Term EPS Growth, $2B Woolsey Securitization, July 2026</w:t>
      </w:r>
    </w:p>
    <w:p>
      <w:pPr>
        <w:spacing w:before="20" w:after="20"/>
        <w:ind w:left="170"/>
      </w:pPr>
      <w:r>
        <w:rPr>
          <w:rFonts w:ascii="Calibri" w:hAnsi="Calibri"/>
          <w:b/>
          <w:color w:val="4A6B25"/>
          <w:sz w:val="15"/>
        </w:rPr>
        <w:t xml:space="preserve">2. </w:t>
      </w:r>
      <w:r>
        <w:rPr>
          <w:rFonts w:ascii="Calibri" w:hAnsi="Calibri"/>
          <w:b w:val="0"/>
          <w:color w:val="3A4A28"/>
          <w:sz w:val="17"/>
        </w:rPr>
        <w:t>Edison International Wildfire Litigation — Eaton Fire $775M Compensation Offers (12,300+ Claimants), LA County Lawsuit ('Prioritized Profits Over Safety'), Shareholder Suit Dismissed, 2025-2026</w:t>
      </w:r>
    </w:p>
    <w:p>
      <w:pPr>
        <w:spacing w:before="20" w:after="20"/>
        <w:ind w:left="170"/>
      </w:pPr>
      <w:r>
        <w:rPr>
          <w:rFonts w:ascii="Calibri" w:hAnsi="Calibri"/>
          <w:b/>
          <w:color w:val="4A6B25"/>
          <w:sz w:val="15"/>
        </w:rPr>
        <w:t xml:space="preserve">3. </w:t>
      </w:r>
      <w:r>
        <w:rPr>
          <w:rFonts w:ascii="Calibri" w:hAnsi="Calibri"/>
          <w:b w:val="0"/>
          <w:color w:val="3A4A28"/>
          <w:sz w:val="17"/>
        </w:rPr>
        <w:t>Edison International Strategy — Board Refresh for AI/Digital, CEO Pedro Pizarro Climate Leadership, $2.5B RAMP Investment, 7% Rate Base Growth,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EIX Key Statistics: Forward P/E ~12.3, D/E 216%, ROE 24.10%, Profit Margin 23.08%, Stock Price $74.66,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