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EKSO</w:t>
      </w:r>
      <w:r>
        <w:rPr>
          <w:rFonts w:ascii="Calibri" w:hAnsi="Calibri"/>
          <w:b/>
          <w:color w:val="1A2010"/>
          <w:sz w:val="40"/>
        </w:rPr>
        <w:t xml:space="preserve">  ChronoScale Holdings Corporation (formerly Ekso Bionics Holdings, Inc.)</w:t>
      </w:r>
    </w:p>
    <w:p>
      <w:pPr>
        <w:spacing w:after="120"/>
      </w:pPr>
      <w:r>
        <w:rPr>
          <w:rFonts w:ascii="Calibri" w:hAnsi="Calibri"/>
          <w:b/>
          <w:color w:val="6E8450"/>
          <w:sz w:val="18"/>
        </w:rPr>
        <w:t>GROWTH SLEEVE · 2026-07-19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IMPORTANT CONTEXT: The public company formerly known as Ekso Bionics Holdings, Inc. (exoskeleton robotics for medical rehabilitation and industrial use, the basis for the Inspire faith-alignment score below) ceased to exist as an operating exoskeleton business on May 5, 2026. Applied Digital Corporation contributed its GPU cloud business to the Ekso legal shell in exchange for ~97% ownership, and the combined entity was renamed ChronoScale Corporation (later ChronoScale Holdings Corporation), trading on Nasdaq under the new ticker CHRN. ChronoScale now operates as a GPU-based accelerated compute platform for AI training, inference and high-performance computing workloads, headquartered in Dallas, Texas. This report scores the current AI-infrastructure business under the legacy EKSO ticker/filename per screening instructions; the ticker itself no longer trades and CHRN should be used for any live quote or execution.</w:t>
      </w:r>
    </w:p>
    <w:p>
      <w:r>
        <w:rPr>
          <w:rFonts w:ascii="Calibri" w:hAnsi="Calibri"/>
          <w:b/>
          <w:color w:val="6E8450"/>
          <w:sz w:val="18"/>
        </w:rPr>
        <w:t>https://chronoscale.com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May 5, 2026 business combination that folded Applied Digital's cloud unit into the Ekso shell to create ChronoScale is a dramatic business-model transformation — exiting exoskeleton robotics entirely for GPU-based AI compute infrastructure — though it was executed via reverse merger/spin-out rather than organic capability-building by the surviving management team [1]. AI Deployment (2/2): The core business already generates revenue directly from AI workloads — approximately $84.4M in twelve-month cloud revenue as of FY2025, delivering GPU capacity for AI training and inference to enterprise customers [1][2]. Market Share (1/2): ChronoScale currently derives revenue from a single disclosed customer, Together AI, a significant concentration risk that precludes any claim to market leadership at this stage [2]. Product Pipeline (1/2): New CTO Raj Jegannathan (13-year Tesla veteran who reported to Elon Musk) and CPO Lawrence Lam were hired in June 2026 specifically 'to accelerate global AI infrastructure strategy,' signaling capacity-expansion intent, though no specific dated capacity or revenue targets have been disclosed [1]. R&amp;D Intensity (0/1): No R&amp;D-as-%-of-revenue data has been disclosed for this newly independent entity.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 CEO Cenly Chen's stated focus — 'the next phase of AI isn't about access, it's about execution,' emphasizing disciplined capacity expansion and consistent performance — is a clear, intentional strategic statement, but it is weeks old, unproven, and reads closer to an operating philosophy than a resilient societal purpose [1]. Community Impact (0/2): No community or charitable program has been identified for this two-and-a-half-month-old entity. Employee Retention (0/2): Not meaningful to assess; the leadership team (CEO, CTO, CPO) was entirely assembled between May and June 2026. Insider Buying (0/2): No open-market insider buying was identified; parent Applied Digital's retained ~97% ownership reflects contribution-in-kind from the spin-out structure rather than a discretionary buying decision.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the single reliably disclosed metric; debt-to-equity, ROE, revenue growth (no prior-period comparable as a standalone public company), forward P/E and forward PEG are all excluded as unavailable given ChronoScale's two-and-a-half-month operating history and limited financial disclosure. Profit margin is deeply negative — a $72.7M net loss against $84.4M revenue (-86.2% margin) — placing it at the 0% floor with no offsetting available metrics to lift the mechanical score [2]. This is not merely a data gap: the combination of single-customer revenue concentration, heavy AI-campus capital intensity, and 'limited financial disclosure' flagged by sell-side coverage are themselves real balance-sheet and going-concern-adjacent risk factors for a newly independent, majority-controlled entity [2]. The stock does clear the liquidity floor (365,553 average daily volume at $26.43 implies ~$9.7M in daily dollar volume), but with Applied Digital holding ~97% of the 143.83M shares outstanding, the public float is only roughly 4.3M shares — meaning daily volume turns over a large fraction of the tradeable float, consistent with the stock's extreme observed volatility (52-week range $2.91-$30.00, single-day swings near ±19% in mid-July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Under a strict Sinek lens, ChronoScale cannot yet be evaluated as an infinite-game player. The entity is two and a half months old as an independent public company, assembled through a reverse-merger/spin-out of financial convenience rather than a proven, cause-driven organization, with three of its top four executives hired within the last eight weeks. Any Just Cause, courage, or trust assessment would be speculation rather than evidence-based scoring at this stage.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resilient, tested purpose exists yet — the entity was created via a financially engineered reverse merger between a struggling exoskeleton micro-cap and a corporate cloud-unit spin-out, and CEO Chen's 'execution over access' framing, while clear, has not been validated by any track record, crisis, or leadership transition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leadership team itself has churned rapidly — a new CEO in May 2026 followed by a new CTO and CPO in June 2026 — which, while framed as strategy acceleration, reflects organizational instability rather than demonstrated psychological safety or tenure; no employee retention data exists for an entity this new.</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philosophy or rival-acknowledgment language has been identified from ChronoScale's brand-new leadership team.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underlying Ekso Bionics shell abandoned its exoskeleton robotics business entirely to become an AI-compute platform — a maximally dramatic pivot in outcome — but this reads as opportunistic financial engineering by a distressed micro-cap seeking a new story rather than a Just-Cause-driven strategic transformation by proven leadership, so it earns partial rather than full credit.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costly, long-term-oriented leadership decisions has emerged in the eight weeks since the entity began operating independently; it is too early to assess.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former Ekso Bionics shell is now ChronoScale, an independent, Nasdaq-listed (CHRN) GPU-based AI compute platform generating approximately $84.4M in twelve-month revenue, majority-owned (~97%) by Applied Digital, and led by a newly assembled executive team including a 13-year Tesla infrastructure veteran as CTO [1][2]. As an AI-infrastructure pure play, it scores at the top of the AI Resilience dimension (9/10) — the business cannot be disrupted by AI because it is literally selling AI compute capacity, and management has articulated a disciplined 'execution over access' growth philosophy for scaling GPU deployments [1].</w:t>
      </w:r>
    </w:p>
    <w:p>
      <w:pPr>
        <w:spacing w:after="120"/>
      </w:pPr>
      <w:r>
        <w:rPr>
          <w:rFonts w:ascii="Calibri" w:hAnsi="Calibri"/>
          <w:b w:val="0"/>
          <w:color w:val="3A4A28"/>
          <w:sz w:val="20"/>
        </w:rPr>
        <w:t>The investment case is overwhelmed by extreme, evidence-based risk at this stage. ChronoScale posted an $72.7M net loss against $84.4M revenue (-86.2% profit margin), has essentially no track record as an independent public company (two and a half months old as of this screen), derives revenue from a single disclosed customer (Together AI), and trades at a reported 35.2x price/sales multiple with 'limited financial disclosure' per sell-side coverage [2]. With Applied Digital retaining ~97% ownership, the public float is roughly 4.3M shares against 365,553 average daily volume — a turnover ratio consistent with the stock's observed ±19% two-day swings and $2.91-$30.00 fifty-two-week range. The Infrastructure score is a mechanical 0 (only profit margin was reliably available, and it sits at the floor), and the Infinite Game score of 1/10 reflects a leadership team and organizational structure too new to evaluate for durable purpose. The Inspire Insight faith-alignment score of +53 reflects the legacy exoskeleton medical-device business and should not be read as a signal about the current AI-infrastructure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diversification beyond the single-customer (Together AI) revenue base, which would materially de-risk the business and could unlock meaningfully higher Infrastructure and Innovation scores at the next screen [2]</w:t>
      </w:r>
    </w:p>
    <w:p>
      <w:pPr>
        <w:spacing w:before="40" w:after="40"/>
        <w:ind w:left="283"/>
      </w:pPr>
      <w:r>
        <w:rPr>
          <w:rFonts w:ascii="Calibri" w:hAnsi="Calibri"/>
          <w:b/>
          <w:color w:val="4A6B25"/>
          <w:sz w:val="20"/>
        </w:rPr>
        <w:t xml:space="preserve">2. </w:t>
      </w:r>
      <w:r>
        <w:rPr>
          <w:rFonts w:ascii="Calibri" w:hAnsi="Calibri"/>
          <w:b w:val="0"/>
          <w:color w:val="3A4A28"/>
          <w:sz w:val="20"/>
        </w:rPr>
        <w:t>New CTO Raj Jegannathan's Tesla-honed infrastructure execution translating into disclosed capacity, margin, or contracted-revenue milestones that would allow mechanical Infrastructure metrics (currently mostly null/unavailable) to be scored [1]</w:t>
      </w:r>
    </w:p>
    <w:p>
      <w:pPr>
        <w:spacing w:before="40" w:after="40"/>
        <w:ind w:left="283"/>
      </w:pPr>
      <w:r>
        <w:rPr>
          <w:rFonts w:ascii="Calibri" w:hAnsi="Calibri"/>
          <w:b/>
          <w:color w:val="4A6B25"/>
          <w:sz w:val="20"/>
        </w:rPr>
        <w:t xml:space="preserve">3. </w:t>
      </w:r>
      <w:r>
        <w:rPr>
          <w:rFonts w:ascii="Calibri" w:hAnsi="Calibri"/>
          <w:b w:val="0"/>
          <w:color w:val="3A4A28"/>
          <w:sz w:val="20"/>
        </w:rPr>
        <w:t>A widening of the public float or secondary offering that would reduce the extreme volatility currently driven by Applied Digital's ~97% ownership concentration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Mechanical Infrastructure score of 0/10: the only reliably available metric (profit margin of -86.2%, reflecting a $72.7M net loss on $84.4M revenue) sits at the scoring floor, and every other core metric is undisclosed for this two-and-a-half-month-old public entity [2]</w:t>
      </w:r>
    </w:p>
    <w:p>
      <w:pPr>
        <w:spacing w:before="40" w:after="40"/>
        <w:ind w:left="283"/>
      </w:pPr>
      <w:r>
        <w:rPr>
          <w:rFonts w:ascii="Calibri" w:hAnsi="Calibri"/>
          <w:b/>
          <w:color w:val="4A6B25"/>
          <w:sz w:val="20"/>
        </w:rPr>
        <w:t xml:space="preserve">2. </w:t>
      </w:r>
      <w:r>
        <w:rPr>
          <w:rFonts w:ascii="Calibri" w:hAnsi="Calibri"/>
          <w:b w:val="0"/>
          <w:color w:val="3A4A28"/>
          <w:sz w:val="20"/>
        </w:rPr>
        <w:t>Single-customer revenue concentration (Together AI) and 97% parent ownership by Applied Digital leave minority shareholders with limited influence and the business exposed to a single counterparty's continued demand [2]</w:t>
      </w:r>
    </w:p>
    <w:p>
      <w:pPr>
        <w:spacing w:before="40" w:after="40"/>
        <w:ind w:left="283"/>
      </w:pPr>
      <w:r>
        <w:rPr>
          <w:rFonts w:ascii="Calibri" w:hAnsi="Calibri"/>
          <w:b/>
          <w:color w:val="4A6B25"/>
          <w:sz w:val="20"/>
        </w:rPr>
        <w:t xml:space="preserve">3. </w:t>
      </w:r>
      <w:r>
        <w:rPr>
          <w:rFonts w:ascii="Calibri" w:hAnsi="Calibri"/>
          <w:b w:val="0"/>
          <w:color w:val="3A4A28"/>
          <w:sz w:val="20"/>
        </w:rPr>
        <w:t>Extreme volatility (52-week range $2.91-$30.00, ±19% two-day swings in mid-July 2026) driven by a public float of roughly 4.3M shares against 365,553 average daily volume makes this an unsuitable liquidity/risk profile despite technically clearing the $1M dollar-volume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ChronoScale's entire business is AI infrastructure — GPU-based accelerated compute for AI training, inference and high-performance computing — which by definition cannot be disrupted by the technology it delivers; demand for the underlying product (dedicated compute capacity) scales directly with AI adoption rather than being threatened by it [1][2]. The one point withheld reflects intense competitive risk within the AI-infrastructure buildout itself (hyperscalers, CoreWeave, Nebius and others chasing the same GPU-cloud opportunity) and single-customer concentration risk with Together AI, which are business-execution risks rather than AI-substitution risks. AI Opportunity (1/1): Essentially 100% of ChronoScale's ~$84.4M in twelve-month revenue is AI-workload compute revenue, an unambiguous, fully quantified AI revenue base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ChronoScale/Applied Digital Business Combination, Leadership Appointments and Spin-Out — GlobeNewswire, ir.chronoscale.com, citybiz, StockTitan, May-June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CHRN (ChronoScale) Key Statistics, Revenue and Customer Concentration; Seeking Alpha ChronoScale Independence Analysis,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