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ELF</w:t>
      </w:r>
      <w:r>
        <w:rPr>
          <w:rFonts w:ascii="Calibri" w:hAnsi="Calibri"/>
          <w:b/>
          <w:color w:val="1A2010"/>
          <w:sz w:val="40"/>
        </w:rPr>
        <w:t xml:space="preserve">  e.l.f. Beauty, Inc.</w:t>
      </w:r>
    </w:p>
    <w:p>
      <w:pPr>
        <w:spacing w:after="120"/>
      </w:pPr>
      <w:r>
        <w:rPr>
          <w:rFonts w:ascii="Calibri" w:hAnsi="Calibri"/>
          <w:b/>
          <w:color w:val="6E8450"/>
          <w:sz w:val="18"/>
        </w:rPr>
        <w:t>GROWTH SLEEVE · 2026-07-19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e.l.f. Beauty, Inc. develops, markets, and sells cosmetics and skin care products under the e.l.f. Cosmetics, e.l.f. Skin, Well People, Naturium, and rhode brand names, sold through national and international retailers and direct-to-consumer e-commerce. Founded in 2004 as a disruptor built on extraordinary value ($1-$6 core price points), the company has expanded into premium skincare and DTC through acquisitions of Naturium and rhode (Hailey Bieber's brand). Headquartered in Oakland, California.</w:t>
      </w:r>
    </w:p>
    <w:p>
      <w:r>
        <w:rPr>
          <w:rFonts w:ascii="Calibri" w:hAnsi="Calibri"/>
          <w:b/>
          <w:color w:val="6E8450"/>
          <w:sz w:val="18"/>
        </w:rPr>
        <w:t>849 Employees · https://www.elfbeauty.com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FY2026 revenue grew 24.6% to $1.64B, capping 29 consecutive quarters of double-digit growth and averaging 20% quarterly net sales growth for seven straight years, with the $1B rhode acquisition contributing $293.5M and pulling the company decisively into premium DTC skincare [1][2]. AI Deployment (2/2): Chief Digital &amp; Information Officer Ekta Chopra has deployed generative AI in production, including 'e.l.f.uencer' (an AI tool that drafts responses to consumer social comments, human-reviewed before posting), AI-powered skin analysis, and data clean rooms / digital twins driving 'intelligent promotions' [3][4]. Market Share (1/2): The company has consistently outgrown the broader beauty category for seven years per Forbes, though no specific basis-point share-gain figures were disclosed [2]. Product Pipeline (1/2): International expansion and continued integration of rhode and Naturium are underway, but no next-generation product was named with a specific launch date. R&amp;D Intensity (1/1): e.l.f.'s core competitive advantage is rapid concept-to-shelf product velocity, reinforced by a $4.2M 2024 investment in AI-powered skin analysis and sustainable packaging, above typical mass-beauty peer R&amp;D commitment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e.l.f.'s stated purpose is 'to make the world a better place for every eye, lip and face,' with a vision to disrupt industry norms and connect communities through positivity, inclusivity and accessibility — specific and thoughtful, and validated by two decades of sub-$10 price architecture that has genuinely democratized cosmetics access [5]. Community Impact (0/2): No specific charitable foundation, dollar-denominated community program, or philanthropic initiative was identified in research. Employee Retention (0/2): Only 45% of Glassdoor reviewers would recommend working at e.l.f. to a friend, with reviews citing leadership changes that created an environment 'reactive, political, and at times hostile' with a lack of transparent communication [6]. Insider Buying (0/2): Insiders were net sellers of approximately $12M over the trailing 12 months, including a $2.6M single-insider sale in the most recent quarter — no offsetting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of 35.1% YoY comfortably clears the 10% target, and D/E of 81.1% and Forward P/E of 20.1x sit close to target thresholds [7]. However, ROE of -0.3% and profit margin of -0.2% both score zero against the algorithm's floors — FY2026 net income fell 77% to $26.3M as ~$58.5M of IEEPA tariff costs and rhode integration/acquisition costs compressed margins from 8.5% to 1.6% [1]. Forward PEG of 1.37 is above the 1.0 target but reasonable given continued double-digit growth guidance. Liquidity floor easily cleared: ~3.56M average daily volume at $73.69 yields roughly $262M in daily dollar volume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e.l.f. has a genuine, specific purpose around beauty accessibility that has shaped two decades of pricing strategy, and the costly decision to absorb tariff impact rather than raise prices reflects some principled conviction. But Sinek would flag the low-trust signals in employee reviews, heavy net insider selling, and market-share-framed competitive language ('outgrowing the industry') as evidence this is still largely a finite-minded growth story rather than a cause-driven infinite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making beauty accessible 'for every eye, lip and face' is genuine and has been lived through consistently low price points since 2004, and leadership references it in strategic framing, but it has not yet been tested through a true existential crisis or multi-decade consistency the way a Sinek exemplar requires [5].</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shows only 45% of employees would recommend e.l.f. to a friend, with reviews describing leadership changes that created a 'reactive, political, and at times hostile' environment and communication that 'lacked transparency' — a clear low-trust signal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Public messaging emphasizes 'outgrowing the beauty industry' and disrupting legacy players rather than acknowledging specific competitors' strengths as a spur for self-improvement, reflecting a market-share-oriented rather than infinite competitive mindset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$1B rhode acquisition and build-out of Naturium and Well People diversified e.l.f. well beyond its original mass color-cosmetics core into premium DTC skincare, a meaningful but not full business-model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Absorbing roughly $58.5M in IEEPA tariff costs in FY2026 without materially raising consumer prices protects the affordability mission at a direct cost to margins (profit margin fell from 8.5% to 1.6%), and the $1B rhode bet integrated a much higher-priced DTC brand into a value-priced portfolio at real execution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e.l.f. Beauty delivered FY2026 revenue of $1.64B, up 24.6%, extending a streak of 29 consecutive quarters of double-digit growth and averaging 20% quarterly growth for seven years — a rare track record in consumer products [1][2]. The $1B rhode acquisition contributed $293.5M in its first full fiscal year and pulled e.l.f. into premium DTC skincare alongside continued Naturium and Well People expansion, while e-commerce grew 63% and now represents 24% of sales [1]. The company is deploying AI in production (generative consumer-response tools, AI skin analysis, data clean rooms for promotional targeting) under a dedicated Chief Digital &amp; Information Officer, positioning it ahead of most mass-beauty peers on digital sophistication [3][4].</w:t>
      </w:r>
    </w:p>
    <w:p>
      <w:pPr>
        <w:spacing w:after="120"/>
      </w:pPr>
      <w:r>
        <w:rPr>
          <w:rFonts w:ascii="Calibri" w:hAnsi="Calibri"/>
          <w:b w:val="0"/>
          <w:color w:val="3A4A28"/>
          <w:sz w:val="20"/>
        </w:rPr>
        <w:t>The bear case centers on margin collapse and culture risk. FY2026 net income fell 77% to $26.3M as approximately $58.5M in IEEPA tariff costs and rhode integration expenses compressed profit margin from 8.5% to 1.6%, and both ROE and profit margin score zero on IOWN's mechanical Infrastructure algorithm [1]. Insiders were net sellers of roughly $12M over the trailing year, and Glassdoor reviews citing a 'reactive, political, and at times hostile' post-leadership-change culture (only 45% would recommend) raise questions about organizational health beneath the growth headline [5][6]. The business also remains structurally dependent on TikTok-driven viral discovery, a channel-concentration risk that persists despite diversification efforts.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integration and international scaling of rhode, which already contributed $293.5M in its first full fiscal year within the e.l.f. portfolio</w:t>
      </w:r>
    </w:p>
    <w:p>
      <w:pPr>
        <w:spacing w:before="40" w:after="40"/>
        <w:ind w:left="283"/>
      </w:pPr>
      <w:r>
        <w:rPr>
          <w:rFonts w:ascii="Calibri" w:hAnsi="Calibri"/>
          <w:b/>
          <w:color w:val="4A6B25"/>
          <w:sz w:val="20"/>
        </w:rPr>
        <w:t xml:space="preserve">2. </w:t>
      </w:r>
      <w:r>
        <w:rPr>
          <w:rFonts w:ascii="Calibri" w:hAnsi="Calibri"/>
          <w:b w:val="0"/>
          <w:color w:val="3A4A28"/>
          <w:sz w:val="20"/>
        </w:rPr>
        <w:t>AI-driven personalization and 'intelligent promotions' from data clean rooms and digital twins improving marketing ROI and e-commerce conversion (24% of FY2026 sales)</w:t>
      </w:r>
    </w:p>
    <w:p>
      <w:pPr>
        <w:spacing w:before="40" w:after="40"/>
        <w:ind w:left="283"/>
      </w:pPr>
      <w:r>
        <w:rPr>
          <w:rFonts w:ascii="Calibri" w:hAnsi="Calibri"/>
          <w:b/>
          <w:color w:val="4A6B25"/>
          <w:sz w:val="20"/>
        </w:rPr>
        <w:t xml:space="preserve">3. </w:t>
      </w:r>
      <w:r>
        <w:rPr>
          <w:rFonts w:ascii="Calibri" w:hAnsi="Calibri"/>
          <w:b w:val="0"/>
          <w:color w:val="3A4A28"/>
          <w:sz w:val="20"/>
        </w:rPr>
        <w:t>Potential tariff relief or supply-chain diversification reducing the ~$58.5M annual IEEPA cost drag that compressed FY2026 net income by 77%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collapsed from 8.5% to 1.6% in FY2026 on tariff costs, and both ROE and profit margin score zero on the mechanical Infrastructure algorithm — a second year of margin pressure would be a serious red flag</w:t>
      </w:r>
    </w:p>
    <w:p>
      <w:pPr>
        <w:spacing w:before="40" w:after="40"/>
        <w:ind w:left="283"/>
      </w:pPr>
      <w:r>
        <w:rPr>
          <w:rFonts w:ascii="Calibri" w:hAnsi="Calibri"/>
          <w:b/>
          <w:color w:val="4A6B25"/>
          <w:sz w:val="20"/>
        </w:rPr>
        <w:t xml:space="preserve">2. </w:t>
      </w:r>
      <w:r>
        <w:rPr>
          <w:rFonts w:ascii="Calibri" w:hAnsi="Calibri"/>
          <w:b w:val="0"/>
          <w:color w:val="3A4A28"/>
          <w:sz w:val="20"/>
        </w:rPr>
        <w:t>Employee culture signals are weak (45% Glassdoor recommend rate, reports of political/hostile post-leadership-change dynamics) alongside ~$12M in net insider selling over the trailing year</w:t>
      </w:r>
    </w:p>
    <w:p>
      <w:pPr>
        <w:spacing w:before="40" w:after="40"/>
        <w:ind w:left="283"/>
      </w:pPr>
      <w:r>
        <w:rPr>
          <w:rFonts w:ascii="Calibri" w:hAnsi="Calibri"/>
          <w:b/>
          <w:color w:val="4A6B25"/>
          <w:sz w:val="20"/>
        </w:rPr>
        <w:t xml:space="preserve">3. </w:t>
      </w:r>
      <w:r>
        <w:rPr>
          <w:rFonts w:ascii="Calibri" w:hAnsi="Calibri"/>
          <w:b w:val="0"/>
          <w:color w:val="3A4A28"/>
          <w:sz w:val="20"/>
        </w:rPr>
        <w:t>Heavy reliance on TikTok and social-algorithm-driven discovery for brand visibility creates concentration risk if platform dynamics or algorithms shift unfavorably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e.l.f.'s physical product manufacturing, retail distribution relationships, and a 3.5M-member Beauty Squad loyalty community create moats AI cannot directly substitute, and the company is using AI as a marketing and analytics tool rather than facing existential AI substitution risk [3][4]. The company's outsized dependence on TikTok/social algorithmic discovery for brand visibility (the #EyesLipsFace campaign generated 10B+ views) is a real platform-concentration risk, though management is diversifying channels and investing in owned AI tools to reduce that dependency [4][8]. AI Opportunity (1/1): Deployed, named AI products include the generative 'e.l.f.uencer' consumer-response tool and AI-powered skin analysis, both shipping to customers as part of the company's digital strategy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e.l.f. Beauty Announces Fourth Quarter and Full Year Fiscal 2026 Results — investor.elfbeauty.com, May 20, 2026</w:t>
      </w:r>
    </w:p>
    <w:p>
      <w:pPr>
        <w:spacing w:before="20" w:after="20"/>
        <w:ind w:left="170"/>
      </w:pPr>
      <w:r>
        <w:rPr>
          <w:rFonts w:ascii="Calibri" w:hAnsi="Calibri"/>
          <w:b/>
          <w:color w:val="4A6B25"/>
          <w:sz w:val="15"/>
        </w:rPr>
        <w:t xml:space="preserve">2. </w:t>
      </w:r>
      <w:r>
        <w:rPr>
          <w:rFonts w:ascii="Calibri" w:hAnsi="Calibri"/>
          <w:b w:val="0"/>
          <w:color w:val="3A4A28"/>
          <w:sz w:val="17"/>
        </w:rPr>
        <w:t>Forbes — 'How e.l.f. Beauty Keeps Outgrowing The Beauty Industry,' May 21, 2026</w:t>
      </w:r>
    </w:p>
    <w:p>
      <w:pPr>
        <w:spacing w:before="20" w:after="20"/>
        <w:ind w:left="170"/>
      </w:pPr>
      <w:r>
        <w:rPr>
          <w:rFonts w:ascii="Calibri" w:hAnsi="Calibri"/>
          <w:b/>
          <w:color w:val="4A6B25"/>
          <w:sz w:val="15"/>
        </w:rPr>
        <w:t xml:space="preserve">3. </w:t>
      </w:r>
      <w:r>
        <w:rPr>
          <w:rFonts w:ascii="Calibri" w:hAnsi="Calibri"/>
          <w:b w:val="0"/>
          <w:color w:val="3A4A28"/>
          <w:sz w:val="17"/>
        </w:rPr>
        <w:t>Fortune — 'She oversaw 29 quarters of sales growth. Now e.l.f.'s CFO is taking on its AI strategy,' May 29, 2026</w:t>
      </w:r>
    </w:p>
    <w:p>
      <w:pPr>
        <w:spacing w:before="20" w:after="20"/>
        <w:ind w:left="170"/>
      </w:pPr>
      <w:r>
        <w:rPr>
          <w:rFonts w:ascii="Calibri" w:hAnsi="Calibri"/>
          <w:b/>
          <w:color w:val="4A6B25"/>
          <w:sz w:val="15"/>
        </w:rPr>
        <w:t xml:space="preserve">4. </w:t>
      </w:r>
      <w:r>
        <w:rPr>
          <w:rFonts w:ascii="Calibri" w:hAnsi="Calibri"/>
          <w:b w:val="0"/>
          <w:color w:val="3A4A28"/>
          <w:sz w:val="17"/>
        </w:rPr>
        <w:t>Consumer Goods Technology — 'e.l.f. Beauty's Playbook for Digital Disruption: Test and Learns, Data, and Emerging Tech,' 2025-2026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e.l.f. Beauty Insider Trading Summary,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Glassdoor — E.L.F. BEAUTY Reviews (254 reviews),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ELF Quote Summary and Key Statistics, accessed July 2026</w:t>
      </w:r>
    </w:p>
    <w:p>
      <w:pPr>
        <w:spacing w:before="20" w:after="20"/>
        <w:ind w:left="170"/>
      </w:pPr>
      <w:r>
        <w:rPr>
          <w:rFonts w:ascii="Calibri" w:hAnsi="Calibri"/>
          <w:b/>
          <w:color w:val="4A6B25"/>
          <w:sz w:val="15"/>
        </w:rPr>
        <w:t xml:space="preserve">8. </w:t>
      </w:r>
      <w:r>
        <w:rPr>
          <w:rFonts w:ascii="Calibri" w:hAnsi="Calibri"/>
          <w:b w:val="0"/>
          <w:color w:val="3A4A28"/>
          <w:sz w:val="17"/>
        </w:rPr>
        <w:t>AInvest — 'e.l.f. Beauty: Disrupting the Beauty Industry with Bold Marketing and Unshakable Brand Equity,'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