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ELV</w:t>
      </w:r>
      <w:r>
        <w:rPr>
          <w:rFonts w:ascii="Calibri" w:hAnsi="Calibri"/>
          <w:b/>
          <w:color w:val="1A2010"/>
          <w:sz w:val="40"/>
        </w:rPr>
        <w:t xml:space="preserve">  Elevance Health, Inc.</w:t>
      </w:r>
    </w:p>
    <w:p>
      <w:pPr>
        <w:spacing w:after="120"/>
      </w:pPr>
      <w:r>
        <w:rPr>
          <w:rFonts w:ascii="Calibri" w:hAnsi="Calibri"/>
          <w:b/>
          <w:color w:val="6E8450"/>
          <w:sz w:val="18"/>
        </w:rPr>
        <w:t>GROWTH SLEEVE · 2026-07-21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Managed Care · NYSE · United States</w:t>
      </w:r>
    </w:p>
    <w:p>
      <w:pPr>
        <w:spacing w:after="80"/>
      </w:pPr>
      <w:r>
        <w:rPr>
          <w:rFonts w:ascii="Calibri" w:hAnsi="Calibri"/>
          <w:b w:val="0"/>
          <w:color w:val="3A4A28"/>
          <w:sz w:val="20"/>
        </w:rPr>
        <w:t>Elevance Health (formerly Anthem) is one of the largest health insurance companies in the United States, serving over 112 million people through its Health Benefits and Carelon segments. The company operates as a Blue Cross Blue Shield licensee in 14 states and provides a range of managed care, pharmacy benefits, and health services. Carelon, the company's health services platform, provides behavioral health, pharmacy, and care delivery solutions. Founded in 1944, headquartered in Indianapolis, Indiana.</w:t>
      </w:r>
    </w:p>
    <w:p>
      <w:r>
        <w:rPr>
          <w:rFonts w:ascii="Calibri" w:hAnsi="Calibri"/>
          <w:b/>
          <w:color w:val="6E8450"/>
          <w:sz w:val="18"/>
        </w:rPr>
        <w:t>98,200 Employees · https://www.elevancehealth.com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Elevance's transformation from a traditional health insurer (Anthem) to an integrated health solutions company under the Elevance Health brand represents a significant business model evolution [1]. The Carelon health services platform has grown to meaningful scale alongside the core Health Benefits segment, reflecting genuine strategic diversification beyond insurance. AI Deployment (1/2): Chief AI Officer Shawn Wang leads an 8-year AI and data science team. CEO Boudreaux keynoted CES on AI in healthcare, and the company is deploying AI across claims processing, care management, fraud detection, and personalization -- Chief Digital Information Officer stated the company is 'extremely bullish' about AI [2]. No specific AI revenue quantification reported. Market Share (2/2): Elevance is the second-largest health insurer in the US serving 112 million members, with dominant Blue Cross Blue Shield positions in 14 states creating significant geographic moats and switching costs [3]. Product Pipeline (0/2): No specific next-generation products with named timelines identified; growth is incremental through membership expansion and Carelon services deepening. R&amp;D Intensity (1/1): Significant investment in technology and AI capabilities relative to managed care peers, with a dedicated Chief AI Officer and enterprise-wide AI transformation program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Elevance's purpose -- 'improving the health of humanity' -- is specific to their domain and more aspirational than generic [3]. The company renamed itself from Anthem to Elevance Health in 2022 to better reflect this broader purpose. However, the mission is not sufficiently distinctive among healthcare companies -- UnitedHealth ('help people live healthier lives') and CVS ('helping people on their path to better health') have similar statements. Community Impact (1/2): As a Blue Cross Blue Shield licensee, Elevance has deep community roots in 14 states serving 112 million members. However, the broader managed care industry faces criticism over claim denials, prior authorization practices, and medical loss ratios, creating tension with the healthcare mission [3]. Employee Retention (1/2): Approximately 98,200 employees with Glassdoor rating of 3.4/5 (6,696 reviews); mixed feedback with some praising 'positive, supportive culture' while others cite layoffs and management concerns [4]. Work-life balance rated 3.6/5 is reasonable for the industry. Insider Buying (2/2): Strong insider buying signal -- CEO Gail Boudreaux purchased 2,725 shares at $367.79 (~$1.0M) on July 17, 2026. Director Steven Collis bought 3,000 shares in March 2026, and Director Ramiro Peru bought 1,000 shares on July 17, 2026. Three insider buys versus only two sells represents meaningful net insider conviction [5][6].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(dividend yield of 1.80% is below the 2% Dividend sleeve threshold). D/E of 69.0% is just under the 70% target, scoring near-maximum (1.0) [7]. ROE of 11.13% is below the 15% target, scoring partial credit (0.742 with 2x weight) [7]. Revenue growth 5yr CAGR of 10.32% meets the 10% target (1.0 with 2x weight), though recent quarterly growth has decelerated to ~0.8% YoY in Q2 2026 as the company exits unprofitable Medicaid markets [1][8]. Forward P/E of 14.15 is well below the 20 target, scoring maximum (1.0) [7]. Profit margin of 2.47% is structurally low for managed care but positive, scoring partial credit (0.124). Forward PEG of 3.89 is above the 3.0 floor, scoring 0.0 with 2x weight, significantly dragging the score [7]. Q2 2026 adjusted EPS of $7.45 beat consensus and full-year guidance was raised to at least $27.00 adjusted diluted EPS [1]. Stock price ~$382.23 with 1.75M avg daily volume yields ~$669M daily liquidity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Elevance plays a relatively infinite game under CEO Gail Boudreaux's leadership. The rebrand from Anthem to Elevance Health and the Carelon platform buildout represent genuine long-term strategic investments that sacrifice near-term simplicity for long-term capability. CEO's $1M personal share purchase signals authentic conviction during a challenging period. However, the managed care industry's inherent tension between profit optimization and patient care creates structural finite pressures that constrain truly infinite behavior.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'Improving the health of humanity' through integrated health solutions goes beyond a typical insurance mission, and the Elevance rebrand in 2022 represented a genuine attempt to redefine the company's purpose beyond claims processing [3]. The Carelon platform development -- investing billions in health services delivery alongside insurance -- shows the cause influencing capital allocation. However, the managed care industry's profit model creates inherent tension with the stated cause, and the purpose has not yet been validated through a multi-decade track record under this articulation.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Approximately 98,200 employees with mixed Glassdoor feedback (3.4/5 from 6,696 reviews) suggest an adequate but not exceptional trust environment [4]. Some employees praise the culture as 'positive, supportive and compassionate' while others describe layoffs and management concerns. CEO Boudreaux's leadership tenure and consistent senior leadership team provide organizational stability, but the scale of the organization makes universal trust difficult to assess.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Elevance competes against UnitedHealth Group, Cigna/Evernorth, and CVS/Aetna, and the company's strategic responses (Carelon platform mirroring UHG's Optum, AI investment, health services integration) suggest it uses competitive pressure to improve rather than simply fighting for market share [3]. CEO Boudreaux's own background as former CEO of UnitedHealthcare -- the largest rival -- gives her firsthand understanding of the competitor's strengths and informs strategic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Anthem (traditional insurer) to Elevance Health (integrated health solutions company) with the Carelon platform represents genuine strategic evolution [3]. Moving from pure insurance into health services delivery required significant capital investment and organizational change. However, the core insurance business remains dominant and the transformation is incremental rather than truly existential in Sinek's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Boudreaux purchasing $1.0M in personal shares on July 17, 2026 after a challenging period demonstrates financial conviction [5]. The decision to exit unprofitable Medicaid markets (including the District of Columbia) despite the political costs shows willingness to make tough choices. Investing heavily in Carelon and AI capabilities while managing near-term medical cost headwinds demonstrates long-term thinking. Raising full-year guidance to at least $27.00 adjusted EPS while transparently addressing challenges is appropriately forward-looking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Elevance Health offers a compelling value proposition at 14.15x forward earnings with an $82.9B market cap, 14 consecutive years of dividend growth (12.47% 5yr CAGR), and strong Q2 2026 performance with adjusted EPS of $7.45 and raised full-year guidance to at least $27.00 adjusted diluted EPS [1]. The Carelon health services platform provides diversification beyond traditional insurance, and CEO Boudreaux's $1.0M personal share purchase on July 17, 2026 signals management conviction in the company's trajectory [5]. D/E of 69% and $37.5B cash provide balance sheet stability. The 5-year revenue CAGR of 10.32% demonstrates sustained growth, and the company's AI deployment across operations positions it for margin improvement [2][7].</w:t>
      </w:r>
    </w:p>
    <w:p>
      <w:pPr>
        <w:spacing w:after="120"/>
      </w:pPr>
      <w:r>
        <w:rPr>
          <w:rFonts w:ascii="Calibri" w:hAnsi="Calibri"/>
          <w:b w:val="0"/>
          <w:color w:val="3A4A28"/>
          <w:sz w:val="20"/>
        </w:rPr>
        <w:t>Near-term headwinds include decelerated revenue growth (Q2 2026 operating revenue up only $0.4B or ~0.8% YoY vs. 12.5% full-year 2025 growth) as the company exits unprofitable Medicaid markets [1][8]. Medical cost trends remain elevated, pressuring Health Benefits operating margins. The forward PEG of 3.89 reflects low expected EPS growth (3.9% 3-year forecast), limiting valuation expansion potential [7]. The broader managed care sector faces regulatory scrutiny over prior authorization and claim denial practices, with a shareholder proposal requesting an independent study on corporate political contributions highlighting governance concerns [9]. The 1.80% dividend yield just misses the 2% Dividend sleeve threshold, though the strong dividend track record (15 years paid, 14 consecutive increases) and 30.57% payout ratio provide ample room for continued dividend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to double-digit adjusted EPS growth in 2027 as medical cost trends normalize and Carelon scale benefits accelerate -- management has expressed confidence in 12%+ EPS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Carelon health services segment revenue growth provides an increasingly meaningful profit contributor and diversification from the insurance underwriting cycle [1]</w:t>
      </w:r>
    </w:p>
    <w:p>
      <w:pPr>
        <w:spacing w:before="40" w:after="40"/>
        <w:ind w:left="283"/>
      </w:pPr>
      <w:r>
        <w:rPr>
          <w:rFonts w:ascii="Calibri" w:hAnsi="Calibri"/>
          <w:b/>
          <w:color w:val="4A6B25"/>
          <w:sz w:val="20"/>
        </w:rPr>
        <w:t xml:space="preserve">3. </w:t>
      </w:r>
      <w:r>
        <w:rPr>
          <w:rFonts w:ascii="Calibri" w:hAnsi="Calibri"/>
          <w:b w:val="0"/>
          <w:color w:val="3A4A28"/>
          <w:sz w:val="20"/>
        </w:rPr>
        <w:t>AI deployment across claims processing, fraud detection, and care management under Chief AI Officer Shawn Wang could drive operational margin improvement and competitive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medical cost trends could persist beyond 2026, continuing to pressure Health Benefits operating margins and delaying the return to double-digit EPS growth [1]</w:t>
      </w:r>
    </w:p>
    <w:p>
      <w:pPr>
        <w:spacing w:before="40" w:after="40"/>
        <w:ind w:left="283"/>
      </w:pPr>
      <w:r>
        <w:rPr>
          <w:rFonts w:ascii="Calibri" w:hAnsi="Calibri"/>
          <w:b/>
          <w:color w:val="4A6B25"/>
          <w:sz w:val="20"/>
        </w:rPr>
        <w:t xml:space="preserve">2. </w:t>
      </w:r>
      <w:r>
        <w:rPr>
          <w:rFonts w:ascii="Calibri" w:hAnsi="Calibri"/>
          <w:b w:val="0"/>
          <w:color w:val="3A4A28"/>
          <w:sz w:val="20"/>
        </w:rPr>
        <w:t>Regulatory risk from potential changes to Medicare Advantage reimbursement, prior authorization requirements, or broader managed care oversight that could impact revenue and margins [3]</w:t>
      </w:r>
    </w:p>
    <w:p>
      <w:pPr>
        <w:spacing w:before="40" w:after="40"/>
        <w:ind w:left="283"/>
      </w:pPr>
      <w:r>
        <w:rPr>
          <w:rFonts w:ascii="Calibri" w:hAnsi="Calibri"/>
          <w:b/>
          <w:color w:val="4A6B25"/>
          <w:sz w:val="20"/>
        </w:rPr>
        <w:t xml:space="preserve">3. </w:t>
      </w:r>
      <w:r>
        <w:rPr>
          <w:rFonts w:ascii="Calibri" w:hAnsi="Calibri"/>
          <w:b w:val="0"/>
          <w:color w:val="3A4A28"/>
          <w:sz w:val="20"/>
        </w:rPr>
        <w:t>Forward PEG of 3.89 and decelerated revenue growth (0.8% Q2 2026 YoY) suggest limited near-term upside; any earnings miss against the $27.00 adjusted EPS guidance could trigger multiple compression [7][8]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Health insurance is well-protected from AI displacement by deep regulatory moats (state insurance regulations, CMS requirements, BCBS licensure), massive proprietary claims data, provider network contracts requiring physical-world relationships, and complex compliance requirements that create enormous switching costs [3]. AI cannot substitute the core insurance underwriting, risk management, and member service functions. Elevance's Chief Digital Information Officer has drawn a clear line against using AI to deny claims -- denials remain under human review [2]. However, AI could pressure administrative margins by enabling more efficient competitors, and AI-powered care navigation tools could theoretically reduce the intermediary role of managed care over the long term. Analysts are not flagging AI as a major disruption risk for Elevance. AI Opportunity (1/1): Elevance has a dedicated Chief AI Officer (Shawn Wang, 8-year tenure) and is actively deploying AI across claims processing, prior authorization approvals, fraud detection, care management, and member personalization, generating measurable operational improvements [2]. The Responsible AI program aligned with the NIST AI Risk Management Framework demonstrates systematic AI integration.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Elevance Health Q2 2026 Earnings Release -- Revenue, EPS Beat, and Raised Full-Year Guidance, SEC 8-K Filing, July 2026</w:t>
      </w:r>
    </w:p>
    <w:p>
      <w:pPr>
        <w:spacing w:before="20" w:after="20"/>
        <w:ind w:left="170"/>
      </w:pPr>
      <w:r>
        <w:rPr>
          <w:rFonts w:ascii="Calibri" w:hAnsi="Calibri"/>
          <w:b/>
          <w:color w:val="4A6B25"/>
          <w:sz w:val="15"/>
        </w:rPr>
        <w:t xml:space="preserve">2. </w:t>
      </w:r>
      <w:r>
        <w:rPr>
          <w:rFonts w:ascii="Calibri" w:hAnsi="Calibri"/>
          <w:b w:val="0"/>
          <w:color w:val="3A4A28"/>
          <w:sz w:val="17"/>
        </w:rPr>
        <w:t>Elevance Health -- AI Strategy, Chief AI Officer, and CES Keynote Coverage, Fierce Healthcare/Becker's/MedCity, 2026</w:t>
      </w:r>
    </w:p>
    <w:p>
      <w:pPr>
        <w:spacing w:before="20" w:after="20"/>
        <w:ind w:left="170"/>
      </w:pPr>
      <w:r>
        <w:rPr>
          <w:rFonts w:ascii="Calibri" w:hAnsi="Calibri"/>
          <w:b/>
          <w:color w:val="4A6B25"/>
          <w:sz w:val="15"/>
        </w:rPr>
        <w:t xml:space="preserve">3. </w:t>
      </w:r>
      <w:r>
        <w:rPr>
          <w:rFonts w:ascii="Calibri" w:hAnsi="Calibri"/>
          <w:b w:val="0"/>
          <w:color w:val="3A4A28"/>
          <w:sz w:val="17"/>
        </w:rPr>
        <w:t>Elevance Health -- Company Overview, Purpose, and Senior Leadership, elevancehealth.com,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Elevance Health Employee Reviews (6,696 reviews, 3.4/5 rating),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Finance/Motley Fool -- CEO Boudreaux Buys $1M in Shares, July 17, 2026</w:t>
      </w:r>
    </w:p>
    <w:p>
      <w:pPr>
        <w:spacing w:before="20" w:after="20"/>
        <w:ind w:left="170"/>
      </w:pPr>
      <w:r>
        <w:rPr>
          <w:rFonts w:ascii="Calibri" w:hAnsi="Calibri"/>
          <w:b/>
          <w:color w:val="4A6B25"/>
          <w:sz w:val="15"/>
        </w:rPr>
        <w:t xml:space="preserve">6. </w:t>
      </w:r>
      <w:r>
        <w:rPr>
          <w:rFonts w:ascii="Calibri" w:hAnsi="Calibri"/>
          <w:b w:val="0"/>
          <w:color w:val="3A4A28"/>
          <w:sz w:val="17"/>
        </w:rPr>
        <w:t>GuruFocus -- Directors Collis (March 2026) and Peru (July 2026) Insider Purchases</w:t>
      </w:r>
    </w:p>
    <w:p>
      <w:pPr>
        <w:spacing w:before="20" w:after="20"/>
        <w:ind w:left="170"/>
      </w:pPr>
      <w:r>
        <w:rPr>
          <w:rFonts w:ascii="Calibri" w:hAnsi="Calibri"/>
          <w:b/>
          <w:color w:val="4A6B25"/>
          <w:sz w:val="15"/>
        </w:rPr>
        <w:t xml:space="preserve">7. </w:t>
      </w:r>
      <w:r>
        <w:rPr>
          <w:rFonts w:ascii="Calibri" w:hAnsi="Calibri"/>
          <w:b w:val="0"/>
          <w:color w:val="3A4A28"/>
          <w:sz w:val="17"/>
        </w:rPr>
        <w:t>Stock Analysis -- ELV Elevance Health Statistics and Valuation,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Elevance Health Q1 2026 Earnings Release -- Revenue Growth and Guidance, April 2026</w:t>
      </w:r>
    </w:p>
    <w:p>
      <w:pPr>
        <w:spacing w:before="20" w:after="20"/>
        <w:ind w:left="170"/>
      </w:pPr>
      <w:r>
        <w:rPr>
          <w:rFonts w:ascii="Calibri" w:hAnsi="Calibri"/>
          <w:b/>
          <w:color w:val="4A6B25"/>
          <w:sz w:val="15"/>
        </w:rPr>
        <w:t xml:space="preserve">9. </w:t>
      </w:r>
      <w:r>
        <w:rPr>
          <w:rFonts w:ascii="Calibri" w:hAnsi="Calibri"/>
          <w:b w:val="0"/>
          <w:color w:val="3A4A28"/>
          <w:sz w:val="17"/>
        </w:rPr>
        <w:t>SEC Filing -- Trillium Asset Management Shareholder Proposal on Political Contributions (PX14A6G),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