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EMN</w:t>
      </w:r>
      <w:r>
        <w:rPr>
          <w:rFonts w:ascii="Calibri" w:hAnsi="Calibri"/>
          <w:b/>
          <w:color w:val="1A2010"/>
          <w:sz w:val="40"/>
        </w:rPr>
        <w:t xml:space="preserve">  Eastman Chemical Company</w:t>
      </w:r>
    </w:p>
    <w:p>
      <w:pPr>
        <w:spacing w:after="120"/>
      </w:pPr>
      <w:r>
        <w:rPr>
          <w:rFonts w:ascii="Calibri" w:hAnsi="Calibri"/>
          <w:b/>
          <w:color w:val="6E8450"/>
          <w:sz w:val="18"/>
        </w:rPr>
        <w:t>DIVIDEND SLEEVE · 2026-07-22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Eastman Chemical Company is a global specialty materials company producing a broad range of advanced materials, additives and functional products, chemicals, and fibers. Spun off from Eastman Kodak in 1994 and headquartered in Kingsport, Tennessee, the company serves customers in transportation, building and construction, consumables, and industrial end markets across approximately 100 countries. Market cap approximately $6.9B.</w:t>
      </w:r>
    </w:p>
    <w:p>
      <w:r>
        <w:rPr>
          <w:rFonts w:ascii="Calibri" w:hAnsi="Calibri"/>
          <w:b/>
          <w:color w:val="6E8450"/>
          <w:sz w:val="18"/>
        </w:rPr>
        <w:t>13,000 Employees · https://www.eastman.com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Eastman has invested meaningfully in circular economy technology — its methanolysis molecular recycling platform converts waste plastics back to monomers, and Tritan Renew products incorporate recycled content. CEO Costa anticipates 4-5% revenue growth from the Renew platform in 2026 [1]. However, overall revenue declined from $10.6B (2022) to $8.75B (2025), and no transformative new business lines have materialized in 5 years. AI Deployment (1/2): Eastman's digital Core service platform earned a CIO 100 award, and the company has deployed digital solutions for operational efficiency and customer experience, though no specific AI-powered customer products or quantified AI cost savings have been reported [3]. Market Share (2/2): Eastman holds leadership positions in cellulose esters, specialty plasticizers, and advanced interlayers (Saflex), with differentiated products commanding premium pricing and creating meaningful switching costs in transportation, construction, and consumer markets [1][2]. Pipeline (1/2): Molecular recycling scale-up and Tritan Renew represent next-generation sustainable materials with growing customer adoption. CEO Costa targets $100M in cost savings plus $50-75M in asset utilization improvements for 2026, but specific product launch timelines beyond the recycling platform were not disclosed [1]. R&amp;D Intensity (0/1): R&amp;D spending is in line with specialty chemical peers but not top-quartile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Eastman's purpose — 'Enhancing the quality of life in a material way' — is specific and thoughtful, connecting specialty materials production to broader societal improvement. The circular economy investment and molecular recycling commitment demonstrate the purpose guides strategic decisions, not just marketing. CEO Costa has held and articulated this vision through 12 years of leadership [2][3]. Community Impact (1/2): Eastman employs 13,000 people, is the largest employer in Kingsport, Tennessee, and has committed to carbon neutrality by 2050 with interim targets of one-third Scope 1 and 2 reduction by 2030 and 100% renewable electricity in North America and Europe [4]. However, no specific charitable programs or dollar amounts were identified. Employee Retention (1/2): Eastman earned Glassdoor Best Places to Work awards (2014-2016), but recent reviews describe deteriorating culture with a 'reward this-year, punish next-year' approach and leadership that can feel 'toxic and demoralizing' [3]. Executive team rated in the bottom 15% of similar-sized companies on Comparably [3]. Costa's 12-year tenure provides top-level stability. Insider Buying (1/2): CEO Costa has served since July 2014 with significant equity exposure through compensation, demonstrating long-term commitment, though no specific recent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$2.18B exceeded the $2.17B consensus forecast, with CEO Costa upbeat about full-year EPS exceeding $6.00 through cost reductions and volume growth from circular economy initiatives [1]. D/E of 89% is manageable for a capital-intensive specialty chemical company (score 0.92). ROE has recovered to 12.1% from the depressed 8.0% in FY2025 (score 0.81). Revenue growth YoY is approximately flat, improving from the -12.1% FY2025 decline (score 0.65). Estimated 5yr revenue CAGR of 1.3% is modest but positive (score 0.42). Forward P/E of 11.5x based on &gt;$6.00 EPS guidance is attractive (score 1.0). Profit margin has improved to 7.75% but remains below the 20% target (score 0.39). Dividend profile: 4.7% yield, 81% payout ratio (score 0.32), 32 consecutive years paid since Kodak spinoff (score 1.0, 2x weight), 17 consecutive years of dividend growth (score 1.0), and 5yr dividend growth CAGR of 2.7% (score 0.45, 2x weight). Weighted sum: 8.40/12 = 7.0. Liquidity cleared: 1.72M avg volume x $68.99 = $118.7M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Eastman under CEO Costa's 12-year tenure displays meaningful infinite game thinking — the molecular recycling investment and carbon neutrality commitment represent genuine long-term bets that prioritize future relevance over near-term returns. The company pivoted from its Kodak chemical commodity origins to specialty materials over two decades. However, deteriorating internal culture, a 'reward this-year, punish next-year' management approach, and sharp earnings pressures suggest the organization may be drifting toward finite behaviors even as the CEO articulates an infinite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'Enhancing the quality of life in a material way' is a genuine purpose that connects specialty materials production to societal benefit. The molecular recycling investment — committing significant CapEx to circular economy technology before it's profitable — demonstrates the cause guides strategic decisions. Costa's 12-year tenure and consistent emphasis on innovation and sustainability through multiple market cycles prove durability [1][2]. However, the purpose hasn't been tested through a truly existential crisis that would prove it's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cultural profile. Eastman earned Glassdoor Best Places to Work awards (2014-2016) and invested in coaching culture, suggesting a historical foundation of trust [3]. However, recent reviews describe deterioration — a Harvard matrix driving short-term incentives, leadership rated in the bottom 15% of similar-sized companies on Comparably, and employees noting the culture is 'losing what made the company great' [3]. Costa's 12-year tenure provides stability at the top, but the cultural concerns at lower levels signal trust is adequate but eroding.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Eastman competes with Dow, DuPont, BASF, and Celanese in specialty chemicals, and management acknowledges these competitors' strengths in specific product categories. The company's focus on differentiated products (Tritan, Saflex) rather than commodity chemicals demonstrates a strategy refined by competitive awareness. Costa has framed Eastman's innovation-driven approach as a response to commodity chemical competitors' scale advantages, using rivals' strengths to clarify Eastman's own direction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Eastman evolved from its Kodak chemical commodity origins to become a specialty materials company, a meaningful multi-decade transformation. The current molecular recycling investment represents further strategic evolution toward circular economy, with the methanolysis platform targeting 4-5% revenue growth in 2026 [1][2]. However, the core business model — manufacturing and selling specialty chemicals — has not fundamentally changed, and the molecular recycling initiative is still early-stage.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Costa has pursued the molecular recycling and circular economy strategy during challenging market conditions, committing CapEx to technology that won't generate full returns for years. The $100M cost reduction target alongside continued innovation investment shows willingness to restructure while building future capability [1]. Full-year EPS guidance above $6.00 despite macroeconomic uncertainty demonstrates confidence. However, deteriorating culture reviews suggest courage may be limited to the CEO level without cascading through the organization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Eastman Chemical offers a compelling deep value setup at 11.5x forward earnings with a 4.7% dividend yield backed by 17 consecutive years of dividend growth and 32 years of consecutive payments since the 1994 Kodak spinoff [1][5]. Q1 2026 revenue of $2.18B exceeded consensus, and CEO Costa guides for full-year EPS above $6.00, driven by $100M in cost savings, $50-75M in asset utilization improvements, and growing circular economy revenue from the methanolysis platform [1]. The company's differentiated specialty materials portfolio (Tritan, Saflex, cellulose esters) creates switching costs and pricing power that commodity chemical competitors lack. Molecular recycling positions Eastman for long-term relevance as regulatory pressure for sustainable materials intensifies globally. MSCI BBB ESG rating and carbon neutrality by 2050 commitment support institutional investor alignment [4].</w:t>
      </w:r>
    </w:p>
    <w:p>
      <w:pPr>
        <w:spacing w:after="120"/>
      </w:pPr>
      <w:r>
        <w:rPr>
          <w:rFonts w:ascii="Calibri" w:hAnsi="Calibri"/>
          <w:b w:val="0"/>
          <w:color w:val="3A4A28"/>
          <w:sz w:val="20"/>
        </w:rPr>
        <w:t>The bear case centers on the fragility of the earnings recovery and cultural deterioration. Revenue has declined from $10.6B (2022) to $8.75B (2025), a 17% contraction over three years, and Q1 2026 revenue was still below the prior year despite exceeding lowered consensus expectations [1]. Net income collapsed 48% from $905M to $474M in 2025, compressing profit margin to under 8% and ROE to 12% — both well below targets for a premium specialty chemical franchise. The payout ratio of 81% is elevated for a cyclical business; further earnings weakness could force a dividend freeze that would break the 17-year growth streak. Glassdoor and Comparably reviews describe toxic leadership culture (executive team rated bottom 15% of peer group), a 'reward this-year, punish next-year' management approach, and a sense that 'what made the company great is being lost' [3]. The PEG ratio of 3.2x suggests the market prices in very limited growth. Tariff and trade disruptions in 2026 could further pressure demand in transportation and industrial end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EPS recovery above $6.00 through $100M cost reduction program plus $50-75M asset utilization improvements, representing 50%+ upside from depressed 2025 adjusted earnings [1]</w:t>
      </w:r>
    </w:p>
    <w:p>
      <w:pPr>
        <w:spacing w:before="40" w:after="40"/>
        <w:ind w:left="283"/>
      </w:pPr>
      <w:r>
        <w:rPr>
          <w:rFonts w:ascii="Calibri" w:hAnsi="Calibri"/>
          <w:b/>
          <w:color w:val="4A6B25"/>
          <w:sz w:val="20"/>
        </w:rPr>
        <w:t xml:space="preserve">2. </w:t>
      </w:r>
      <w:r>
        <w:rPr>
          <w:rFonts w:ascii="Calibri" w:hAnsi="Calibri"/>
          <w:b w:val="0"/>
          <w:color w:val="3A4A28"/>
          <w:sz w:val="20"/>
        </w:rPr>
        <w:t>Molecular recycling and Tritan Renew commercialization scaling — CEO targets 4-5% revenue growth from the circular economy platform in 2026, positioning Eastman for regulatory-driven demand for sustainable materials [1][2]</w:t>
      </w:r>
    </w:p>
    <w:p>
      <w:pPr>
        <w:spacing w:before="40" w:after="40"/>
        <w:ind w:left="283"/>
      </w:pPr>
      <w:r>
        <w:rPr>
          <w:rFonts w:ascii="Calibri" w:hAnsi="Calibri"/>
          <w:b/>
          <w:color w:val="4A6B25"/>
          <w:sz w:val="20"/>
        </w:rPr>
        <w:t xml:space="preserve">3. </w:t>
      </w:r>
      <w:r>
        <w:rPr>
          <w:rFonts w:ascii="Calibri" w:hAnsi="Calibri"/>
          <w:b w:val="0"/>
          <w:color w:val="3A4A28"/>
          <w:sz w:val="20"/>
        </w:rPr>
        <w:t>End-market recovery — transportation and construction demand stabilization after the 2023-2025 downturn would drive volume recovery leveraging existing fixed-cost infrastructure, with 15 analysts maintaining an average 'Buy' rating and $82.73 price target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fragility — net income fell 48% in 2025 on a 12% revenue decline, demonstrating high operating leverage; the 81% payout ratio leaves minimal dividend cushion if the &gt;$6.00 EPS recovery falters [1][5]</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 Glassdoor reviews describe toxic leadership, executive team rated bottom 15% on Comparably, and a short-term-incentive culture that could accelerate talent attrition and undermine innovation execution [3]</w:t>
      </w:r>
    </w:p>
    <w:p>
      <w:pPr>
        <w:spacing w:before="40" w:after="40"/>
        <w:ind w:left="283"/>
      </w:pPr>
      <w:r>
        <w:rPr>
          <w:rFonts w:ascii="Calibri" w:hAnsi="Calibri"/>
          <w:b/>
          <w:color w:val="4A6B25"/>
          <w:sz w:val="20"/>
        </w:rPr>
        <w:t xml:space="preserve">3. </w:t>
      </w:r>
      <w:r>
        <w:rPr>
          <w:rFonts w:ascii="Calibri" w:hAnsi="Calibri"/>
          <w:b w:val="0"/>
          <w:color w:val="3A4A28"/>
          <w:sz w:val="20"/>
        </w:rPr>
        <w:t>Macroeconomic and trade headwinds — tariffs, global demand weakness, and industrial cycle uncertainty could prevent the H2-loaded earnings recovery that management's &gt;$6.00 guidance depends 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Eastman's core business — manufacturing specialty chemicals and advanced materials — involves complex physical-world processes (molecular recycling, cellulose chemistry, polymer production) that AI cannot replace. Chemical manufacturing requires physical plants, deep process engineering expertise, and regulatory compliance that create structural barriers to AI disruption. Analysts have not flagged AI as a displacement risk for specialty chemical companies. However, AI-driven materials science discovery and computational chemistry tools could accelerate competitors' product development or enable new entrants in specialty materials [3]. AI Opportunity (1/1): Eastman's digital Core platform and internal digital transformation efforts generate measurable operational value. AI-driven R&amp;D tools for molecular simulation could accelerate new product development timelines in circular economy applications, and the CIO 100 award validates operational AI deployment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Eastman Chemical Q1 2026 Earnings — $2.18B revenue, $1.09 adjusted EPS, full-year guidance &gt;$6.00, cost savings targets, BusinessWire / Yahoo Finance, April 2026</w:t>
      </w:r>
    </w:p>
    <w:p>
      <w:pPr>
        <w:spacing w:before="20" w:after="20"/>
        <w:ind w:left="170"/>
      </w:pPr>
      <w:r>
        <w:rPr>
          <w:rFonts w:ascii="Calibri" w:hAnsi="Calibri"/>
          <w:b/>
          <w:color w:val="4A6B25"/>
          <w:sz w:val="15"/>
        </w:rPr>
        <w:t xml:space="preserve">2. </w:t>
      </w:r>
      <w:r>
        <w:rPr>
          <w:rFonts w:ascii="Calibri" w:hAnsi="Calibri"/>
          <w:b w:val="0"/>
          <w:color w:val="3A4A28"/>
          <w:sz w:val="17"/>
        </w:rPr>
        <w:t>Eastman Corporate Website — Leadership team, molecular recycling, Tritan Renew circular economy strategy, CEO Costa 12-year tenure</w:t>
      </w:r>
    </w:p>
    <w:p>
      <w:pPr>
        <w:spacing w:before="20" w:after="20"/>
        <w:ind w:left="170"/>
      </w:pPr>
      <w:r>
        <w:rPr>
          <w:rFonts w:ascii="Calibri" w:hAnsi="Calibri"/>
          <w:b/>
          <w:color w:val="4A6B25"/>
          <w:sz w:val="15"/>
        </w:rPr>
        <w:t xml:space="preserve">3. </w:t>
      </w:r>
      <w:r>
        <w:rPr>
          <w:rFonts w:ascii="Calibri" w:hAnsi="Calibri"/>
          <w:b w:val="0"/>
          <w:color w:val="3A4A28"/>
          <w:sz w:val="17"/>
        </w:rPr>
        <w:t>Glassdoor / Comparably — Eastman Chemical employee reviews, Best Places to Work 2014-2016, executive team bottom 15% rating, culture concerns,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Eastman Sustainability Report — Carbon neutrality by 2050, Scope 1-2 reduction targets, MSCI BBB ESG rating,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EMN key statistics, $68.99 price, D/E 89%, ROE 12.1%, 4.7% yield, analyst consensus,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