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ENTG</w:t>
      </w:r>
      <w:r>
        <w:rPr>
          <w:rFonts w:ascii="Calibri" w:hAnsi="Calibri"/>
          <w:b/>
          <w:color w:val="1A2010"/>
          <w:sz w:val="40"/>
        </w:rPr>
        <w:t xml:space="preserve">  Entegris, Inc.</w:t>
      </w:r>
    </w:p>
    <w:p>
      <w:pPr>
        <w:spacing w:after="120"/>
      </w:pPr>
      <w:r>
        <w:rPr>
          <w:rFonts w:ascii="Calibri" w:hAnsi="Calibri"/>
          <w:b/>
          <w:color w:val="6E8450"/>
          <w:sz w:val="18"/>
        </w:rPr>
        <w:t>GROWTH SLEEVE · 2026-07-10 · Inspire: 65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Entegris, Inc. develops, manufactures, and supplies advanced materials, specialty chemicals, and equipment solutions for the semiconductor and other high-technology industries. Products include CMP (chemical mechanical planarization) consumables, selective etch and deposition materials, filtration systems, and fluid handling components. The 2022 acquisition of CMC Materials for approximately $6B transformed Entegris into a comprehensive materials platform serving the world's leading chipmakers including TSMC, Intel, and Samsung.</w:t>
      </w:r>
    </w:p>
    <w:p>
      <w:r>
        <w:rPr>
          <w:rFonts w:ascii="Calibri" w:hAnsi="Calibri"/>
          <w:b/>
          <w:color w:val="6E8450"/>
          <w:sz w:val="18"/>
        </w:rPr>
        <w:t>8,000 Employees · https://www.entegris.com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$6B CMC Materials acquisition in 2022 was transformative, creating a comprehensive semiconductor materials platform with leading positions in CMP consumables, specialty chemicals, and advanced filtration [5]. Entegris has successfully launched new solutions for the industry's most advanced manufacturing processes (3nm, 2nm nodes) that require increasingly sophisticated materials. AI Deployment (0/2): Entegris does not deploy AI products to customers, though its materials are critical enablers of AI chip manufacturing [1]. The company has a digital innovation strategy but has not reported quantified AI-driven revenue or cost savings. Market Share (2/2): Entegris holds category-leading positions in CMP consumables, selective etch materials, and advanced deposition chemicals — mission-critical materials where switching costs are extremely high due to chip qualification processes that can take 12-18 months [1][5]. Product Pipeline (1/2): Continued development of next-generation materials for advanced nodes with strengthening order patterns, but no specific named products with launch dates or revenue projections [1]. R&amp;D Intensity (1/1): Significant R&amp;D investments in materials science and innovation, including Entegris Ventures for early-stage technology investments, reflecting above-industry R&amp;D commitment for a specialty chemicals company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Entegris's purpose — enabling the integrity and performance of critical processes and materials used in semiconductor manufacturing — is clear and connects the company to the broader mission of advancing semiconductor technology [5]. However, it reads as a business description rather than a transformative vision, and does not articulate why semiconductor materials matter beyond commercial success. Community Impact (0/2): No specific charitable programs, foundations, or community investment initiatives identified beyond standard ESG compliance and sustainability reporting [5]. Employee Retention (0/2): Glassdoor reviews reveal mixed signals — employees value the opportunity to tackle 'leading edge technology challenges' and note 'strong division leadership,' but criticize executive leadership as 'too finance-heavy' with 'management by fear' [5]. Insufficient data for a positive score. Insider Buying (0/2): CEO transition from Bertrand Loy (13 years) to David Reeder (appointed August 2025) was orderly, but no meaningful net insider buying identified in the last 12 months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Entegris demonstrates a mixed financial profile reflecting the semiconductor cycle trough and CMC acquisition integration burden. Strengths: 5-year revenue CAGR of 11.45% (including CMC contribution), D/E of 93% (manageable for the acquisition debt), and PEG ratio of 1.68 suggesting reasonable growth-adjusted valuation [4]. Weaknesses: Forward P/E of 37.90 (well above the 20 target), profit margin of just 8.18% compressed by integration costs, ROE of 6.79% well below the 15% target reflecting the dilutive CMC deal, and revenue declining -1.38% YoY as the semiconductor industry experienced a cyclical trough in 2024-2025 [1][4]. Q1 2026 showed 5% revenue growth driven by AI-related demand recovery, suggesting the trough may be past [1]. The $3.81B debt load from the CMC acquisition is the primary financial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Entegris is a competent, technology-driven company with genuine materials science expertise but a predominantly finite mindset. Former CEO Bertrand Loy's 13-year tenure built a leading semiconductor materials platform, but the company's competitive language and strategic decisions center on market positioning and financial returns rather than a cause that endures beyond any leader. The CMC acquisition was transformative but financially motivated. The CEO transition to David Reeder (a former CFO/finance executive) reinforces an operational rather than visionary leadership orientation.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Entegris's purpose of enabling semiconductor manufacturing integrity connects to the broader advancement of technology, but the company does not articulate why this matters beyond commercial success [5]. The mission reads as a business description — 'we make materials for chips' — rather than a vision of a future that does not yet exist. Loy's 13-year tenure built capabilities, but the strategic narrative was about market leadership and financial returns rather than a cause that invites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concerning signals — while employees value the technology challenges, multiple reviews cite 'management by fear' and criticize executive leadership as 'too finance-heavy' [5]. These are red flags in Sinek's framework, suggesting people spend energy protecting themselves from internal politics rather than advancing a shared cause. The CEO transition may improve or worsen this dynamic, but current evidence suggests below-average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Entegris positions itself as the 'leading' materials provider and emphasizes its 'category-leading positions' — language about market dominance rather than learning from rivals [5]. The company does not publicly discuss how competitors like DuPont, Cabot Microelectronics (now acquired), or Shin-Etsu drive Entegris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CMC Materials acquisition fundamentally expanded Entegris from a filtration/fluid handling company into a comprehensive semiconductor materials platform — a meaningful strategic evolution that changed the company's competitive positioning and revenue composition [5]. However, this was a financial acquisition (buying a competitor's capabilities) rather than an organic reinvention driven by a Just Cause, making it more evolutionary than existential.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$6B CMC Materials acquisition in 2022 was a bet-the-company move that more than doubled Entegris's debt and transformed its portfolio — genuine strategic courage [5]. The company continued R&amp;D investment through the 2024-2025 semiconductor downturn rather than cutting to protect near-term margins. However, new CEO David Reeder is a finance-background executive (former GF CFO), which suggests the next chapter prioritizes financial optimization over visionary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Entegris is a mission-critical materials supplier to the world's leading semiconductor manufacturers, providing CMP consumables, selective etch chemicals, and deposition materials that become more valuable as chip geometries shrink to 3nm and 2nm nodes [1][5]. The CMC Materials acquisition created a comprehensive portfolio with high switching costs (12-18 month chip qualification cycles), and Q1 2026 showed 5% revenue growth driven by AI-related demand recovery [1]. The 5-year revenue CAGR of 11.45% demonstrates consistent secular growth, and Entegris benefits from one of the strongest tailwinds in technology — every advanced AI chip requires more materials per wafer, creating a structural volume multiplier. Strengthening order patterns across the portfolio suggest the semiconductor cycle trough is past, with consensus forecasts projecting 9.09% revenue CAGR over the next three years [4].</w:t>
      </w:r>
    </w:p>
    <w:p>
      <w:pPr>
        <w:spacing w:after="120"/>
      </w:pPr>
      <w:r>
        <w:rPr>
          <w:rFonts w:ascii="Calibri" w:hAnsi="Calibri"/>
          <w:b w:val="0"/>
          <w:color w:val="3A4A28"/>
          <w:sz w:val="20"/>
        </w:rPr>
        <w:t>Valuation is demanding at 37.9x forward earnings and 83.9x trailing P/E, with a PEG of 1.68 implying the market already prices in substantial growth recovery [4]. Revenue declined in 2024 and 2025 (-1.38% YoY) as the semiconductor industry cycled through a trough, and profit margin remains compressed at 8.18% — well below pre-acquisition levels — reflecting CMC integration costs and $3.81B in acquisition debt (D/E of 93%) [4]. ROE of 6.79% is dramatically below the 15% target, reflecting the dilutive effect of the CMC deal. Glassdoor reviews citing 'management by fear' raise organizational culture concerns, and the CEO transition from 13-year veteran Loy to finance-background Reeder adds execution uncertainty [5]. Geopolitical tensions (US-China semiconductor restrictions) could reduce the addressable market if Chinese fabs face further export controls on advanced materials.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semiconductor manufacturing ramp accelerating unit demand for advanced materials, particularly at TSMC 3nm/2nm nodes where materials content per wafer increases structurally</w:t>
      </w:r>
    </w:p>
    <w:p>
      <w:pPr>
        <w:spacing w:before="40" w:after="40"/>
        <w:ind w:left="283"/>
      </w:pPr>
      <w:r>
        <w:rPr>
          <w:rFonts w:ascii="Calibri" w:hAnsi="Calibri"/>
          <w:b/>
          <w:color w:val="4A6B25"/>
          <w:sz w:val="20"/>
        </w:rPr>
        <w:t xml:space="preserve">2. </w:t>
      </w:r>
      <w:r>
        <w:rPr>
          <w:rFonts w:ascii="Calibri" w:hAnsi="Calibri"/>
          <w:b w:val="0"/>
          <w:color w:val="3A4A28"/>
          <w:sz w:val="20"/>
        </w:rPr>
        <w:t>CMC Materials integration synergies fully realized through 2026-2027, expanding profit margins toward pre-acquisition levels and improving ROE from the depressed 6.79%</w:t>
      </w:r>
    </w:p>
    <w:p>
      <w:pPr>
        <w:spacing w:before="40" w:after="40"/>
        <w:ind w:left="283"/>
      </w:pPr>
      <w:r>
        <w:rPr>
          <w:rFonts w:ascii="Calibri" w:hAnsi="Calibri"/>
          <w:b/>
          <w:color w:val="4A6B25"/>
          <w:sz w:val="20"/>
        </w:rPr>
        <w:t xml:space="preserve">3. </w:t>
      </w:r>
      <w:r>
        <w:rPr>
          <w:rFonts w:ascii="Calibri" w:hAnsi="Calibri"/>
          <w:b w:val="0"/>
          <w:color w:val="3A4A28"/>
          <w:sz w:val="20"/>
        </w:rPr>
        <w:t>Semiconductor cycle recovery with strengthening order patterns across the portfolio as AI capex by hyperscalers drives fab utilization above 85%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37.9x and trailing P/E of 83.9x leave zero margin for error — any semiconductor cycle deceleration or guidance miss could trigger severe multiple compression</w:t>
      </w:r>
    </w:p>
    <w:p>
      <w:pPr>
        <w:spacing w:before="40" w:after="40"/>
        <w:ind w:left="283"/>
      </w:pPr>
      <w:r>
        <w:rPr>
          <w:rFonts w:ascii="Calibri" w:hAnsi="Calibri"/>
          <w:b/>
          <w:color w:val="4A6B25"/>
          <w:sz w:val="20"/>
        </w:rPr>
        <w:t xml:space="preserve">2. </w:t>
      </w:r>
      <w:r>
        <w:rPr>
          <w:rFonts w:ascii="Calibri" w:hAnsi="Calibri"/>
          <w:b w:val="0"/>
          <w:color w:val="3A4A28"/>
          <w:sz w:val="20"/>
        </w:rPr>
        <w:t>$3.81B debt from CMC acquisition constrains financial flexibility with D/E of 93% and depressed ROE of 6.79%, creating vulnerability if the recovery is slower than expected</w:t>
      </w:r>
    </w:p>
    <w:p>
      <w:pPr>
        <w:spacing w:before="40" w:after="40"/>
        <w:ind w:left="283"/>
      </w:pPr>
      <w:r>
        <w:rPr>
          <w:rFonts w:ascii="Calibri" w:hAnsi="Calibri"/>
          <w:b/>
          <w:color w:val="4A6B25"/>
          <w:sz w:val="20"/>
        </w:rPr>
        <w:t xml:space="preserve">3. </w:t>
      </w:r>
      <w:r>
        <w:rPr>
          <w:rFonts w:ascii="Calibri" w:hAnsi="Calibri"/>
          <w:b w:val="0"/>
          <w:color w:val="3A4A28"/>
          <w:sz w:val="20"/>
        </w:rPr>
        <w:t>US-China semiconductor export restrictions could reduce Entegris's addressable market if advanced materials face the same controls being applied to chipmaking equipment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Entegris is structurally immune to AI disruption and directly benefits from AI demand. Every advanced AI chip manufactured at TSMC, Intel, or Samsung requires Entegris's CMP consumables, etch chemicals, deposition materials, and filtration systems — AI cannot substitute for physical materials consumed in semiconductor fabrication [1][5]. As chip geometries shrink to 3nm and 2nm nodes, the materials content per wafer increases, creating a structural volume multiplier that scales with AI chip production. The company's products have 12-18 month qualification cycles that create switching costs competitors cannot easily overcome. AI demand is the primary growth driver for Entegris's customers, making AI a direct tailwind. AI Opportunity (1/1): Entegris generates meaningful AI-driven revenue through materials supplied for AI chip manufacturing. Q1 2026 revenue growth of 5% was 'primarily driven by increasing unit-driven volumes related to the industry's most advanced manufacturing processes' — code for AI chip production at leading-edge nodes [1]. Strengthening order patterns reflect accelerating AI-related demand across the portfolio.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Entegris Q1 2026 Earnings Release — Revenue $812M, 5% YoY growth driven by AI-related demand, April 2026</w:t>
      </w:r>
    </w:p>
    <w:p>
      <w:pPr>
        <w:spacing w:before="20" w:after="20"/>
        <w:ind w:left="170"/>
      </w:pPr>
      <w:r>
        <w:rPr>
          <w:rFonts w:ascii="Calibri" w:hAnsi="Calibri"/>
          <w:b/>
          <w:color w:val="4A6B25"/>
          <w:sz w:val="15"/>
        </w:rPr>
        <w:t xml:space="preserve">2. </w:t>
      </w:r>
      <w:r>
        <w:rPr>
          <w:rFonts w:ascii="Calibri" w:hAnsi="Calibri"/>
          <w:b w:val="0"/>
          <w:color w:val="3A4A28"/>
          <w:sz w:val="17"/>
        </w:rPr>
        <w:t>Entegris Q4 2025 / FY2025 Earnings Release — Revenue $3.20B, net income $235.6M, January 2026</w:t>
      </w:r>
    </w:p>
    <w:p>
      <w:pPr>
        <w:spacing w:before="20" w:after="20"/>
        <w:ind w:left="170"/>
      </w:pPr>
      <w:r>
        <w:rPr>
          <w:rFonts w:ascii="Calibri" w:hAnsi="Calibri"/>
          <w:b/>
          <w:color w:val="4A6B25"/>
          <w:sz w:val="15"/>
        </w:rPr>
        <w:t xml:space="preserve">3. </w:t>
      </w:r>
      <w:r>
        <w:rPr>
          <w:rFonts w:ascii="Calibri" w:hAnsi="Calibri"/>
          <w:b w:val="0"/>
          <w:color w:val="3A4A28"/>
          <w:sz w:val="17"/>
        </w:rPr>
        <w:t>Entegris CEO Succession Plan — David Reeder appointed CEO August 2025, Bertrand Loy Executive Chair, May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ENTG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Entegris Investor Relations — Revenue History 2021-2025, Glassdoor Reviews, Company Overview</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