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EONR</w:t>
      </w:r>
      <w:r>
        <w:rPr>
          <w:rFonts w:ascii="Calibri" w:hAnsi="Calibri"/>
          <w:b/>
          <w:color w:val="1A2010"/>
          <w:sz w:val="40"/>
        </w:rPr>
        <w:t xml:space="preserve">  EON Resources Inc.</w:t>
      </w:r>
    </w:p>
    <w:p>
      <w:pPr>
        <w:spacing w:after="120"/>
      </w:pPr>
      <w:r>
        <w:rPr>
          <w:rFonts w:ascii="Calibri" w:hAnsi="Calibri"/>
          <w:b/>
          <w:color w:val="6E8450"/>
          <w:sz w:val="18"/>
        </w:rPr>
        <w:t>GROWTH SLEEVE · 2026-08-12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EON Resources is an independent upstream oil and gas company focused on acquisition, development, and production of conventional oil properties in the Permian Basin, West Texas. The company holds 100% working interest in 342 producing wells and 207 water injection wells across approximately 13,700 acres, producing roughly 1,000 barrels of oil per day. In September 2025, EON completed a transformative recapitalization retiring $41M of senior and seller debt and eliminating preferred shares with a $27M redemption value. The June 2025 South Justis Field acquisition expanded acreage by 35%, boosting original oil in place to approximately 1.2 billion barrels. The company is pursuing a fully funded 92-well San Andres horizontal drilling program. Revenue was $17.3M (TTM) with 12 employees and a market cap of $24M.</w:t>
      </w:r>
    </w:p>
    <w:p>
      <w:r>
        <w:rPr>
          <w:rFonts w:ascii="Calibri" w:hAnsi="Calibri"/>
          <w:b/>
          <w:color w:val="6E8450"/>
          <w:sz w:val="18"/>
        </w:rPr>
        <w:t>12 Employees · https://www.eon-r.com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EON completed a transformative recapitalization in September 2025 that retired $41M of senior and seller debt and eliminated preferred shares with a $27M redemption value, producing a $14M gain [1]. The South Justis Field acquisition in June 2025 expanded acreage by 35% and boosted original oil in place to 1.2 billion barrels. However, these are financial and operational restructuring moves, not product or technology innovation — the core business of conventional oil extraction from the Permian Basin remains unchanged. AI Deployment (0/2): No evidence of AI deployment in operations or any technology-driven productivity gains. EON operates a conventional waterflood oil recovery operation with 12 employees [4]. Market Share (0/2): EON produces approximately 1,000 bopd on 13,700 acres — negligible relative to major Permian operators like Diamondback Energy (500,000+ bopd) and Pioneer Natural Resources. No evidence of share gains or category leadership. Product Pipeline (1/2): The San Andres farmout contemplates up to 92 horizontal wells with an estimated $95M of probable reserves, and management raised 2026 EBITDA guidance to $6M with potential to double through new drilling and elevated oil prices [1]. However, execution timelines remain vague and depend on farmout partner performance. R&amp;D Intensity (0/1): No R&amp;D spending applicable for a conventional oil extraction operation.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EON's purpose is standard upstream oil &amp; gas — 'acquisition, development, exploration, and production of oil and natural gas properties' [4]. This is a generic business description interchangeable with any small E&amp;P company. No mission, vision, or purpose statement articulates why EON exists beyond extracting hydrocarbons for profit. Community Impact (0/2): No evidence of community programs or charitable activities. With only 12 employees, the company has minimal community footprint. Employee Retention (0/2): Only 12 employees with management team average tenure of approximately 2.3 years, suggesting a recently assembled team [2]. Insufficient scale or history to evaluate retention meaningfully. Insider Buying (0/2): CEO Dante Caravaggio holds 1.38% of shares (~$340K at current prices), providing modest alignment but not meaningful conviction buying relative to total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1,581,044 shares at $0.53 per share produces approximately $838,000 in daily trading value, which falls below the $1,000,000 liquidity threshold [2]. Infrastructure score is set to 0 regardless of other metrics. For reference, the underlying financial profile shows meaningful improvement after recapitalization: D/E collapsed from 884% to 8.9% after retiring $41M debt, leaving only $1M total debt against $60.9M shareholders' equity [3]. ROE is -4.96% reflecting the $2.1M net loss. Profit margin is -12.19%. Revenue declined 20.3% TTM to $17.3M due to lower oil prices. The company holds only $875.6K cash against -$21.56M FCF (reflecting heavy drilling capex). Despite the vastly improved balance sheet, the nano-cap status ($24M market cap), penny stock price, and illiquidity make this stock untradeable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EON Resources is a finite game player by every Sinek metric. The company is a 12-employee nano-cap E&amp;P company focused entirely on near-term production growth, capital markets activity, and survival. CEO Caravaggio's communications emphasize 'earnings growth in 2026' and revenue targets — finite metrics-driven motivations rather than a transcendent cause. The transformative recapitalization and 92-well drilling program are rational operational moves, but they reflect survival-oriented execution rather than the kind of purpose-driven, endurance-oriented leadership Sinek values.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EON's purpose is standard hydrocarbon extraction without any differentiation or aspirational quality. The company exists to produce oil for profit — no mission, vision, or purpose statement connects this work to a larger cause [4]. CEO Caravaggio's public statements focus exclusively on production targets, EBITDA guidance, and drilling programs [1]. This is a textbook finite player maximizing near-term resource extraction.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12 employees and a management team averaging approximately 2.3 years of tenure, there is insufficient scale or organizational history to evaluate trust dynamics [2]. The company's rapid leadership changes and recent formation (previously HNR Acquisition Corp, a SPAC) suggest an organization still finding its identity. No evidence of cultural practices,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EON competes in the Permian Basin against operators producing orders of magnitude more oil (Diamondback, Pioneer, Devon Energy), but the company's communications do not reference competitors, acknowledge their strengths, or frame competition as motivation for improvement. The nano-cap scale renders competitive positioning largely irrelevant — EON is not meaningfully competing with the majors.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EON has maintained the same core business of Permian Basin oil extraction throughout its public company history. The South Justis Field acquisition and San Andres farmout expand the same business model — more wells, more acres, more oil — without any strategic reinvention [1]. The company lacks the scale, resources, or vision to contemplate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September 2025 recapitalization was a bold financial restructuring — retiring $41M of senior and seller debt and eliminating preferred shares with a $27M redemption value required negotiating with creditors and preferred holders who could have forced liquidation [1]. Hedging 75% of output through 2027 shows discipline in locking in cash flows during elevated oil prices rather than gambling on price upside. However, these are survival-oriented decisions from a company with limited options rather than the kind of principled long-term bets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EON Resources offers a speculative nano-cap Permian Basin play with a dramatically improved balance sheet following the September 2025 recapitalization that retired $41M debt and left only $1M remaining [1][3]. The company holds 100% working interest in 1.2 billion barrels of original oil in place across 13,700+ acres, and the 92-well San Andres horizontal drilling program is fully funded through farmout arrangements at no cost to EON. Management raised 2026 EBITDA guidance to $6M with potential to double as new horizontal wells come online. The stock trades at 0.46x book value ($60.9M equity vs $24M market cap), and 75% production hedging through 2027 provides downside protection against oil price declines [2][3].</w:t>
      </w:r>
    </w:p>
    <w:p>
      <w:pPr>
        <w:spacing w:after="120"/>
      </w:pPr>
      <w:r>
        <w:rPr>
          <w:rFonts w:ascii="Calibri" w:hAnsi="Calibri"/>
          <w:b w:val="0"/>
          <w:color w:val="3A4A28"/>
          <w:sz w:val="20"/>
        </w:rPr>
        <w:t>The bear case is dominated by structural investability issues. At $0.53 per share with a $24M market cap and only 12 employees, EON is a nano-cap penny stock with insufficient liquidity for institutional participation — daily trading value of approximately $838K fails the $1M liquidity floor [2]. Revenue declined 20.3% YoY to $17.3M on lower oil prices, and the company generated a -$2.1M net loss with only $875.6K cash on hand against -$21.56M FCF (reflecting heavy capex). The ambitious $200M revenue target and 92-well drilling program depend entirely on farmout partner execution beyond EON's direct control. With no analyst coverage, no institutional ownership to speak of, and extreme stock volatility (16% weekly moves), EON is unsuitable for any portfolio requiring liquidity, transparency, or scale. The Inspire score of 34 (ALIGNED) is a bright spot for faith-based investors but cannot overcome the fundamental investability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Q3-Q4 2026 production ramp as new horizontal wells from the San Andres farmout begin producing, potentially adding 100-500 bopd and materially increasing revenue above the current $17M TTM run rate [1]</w:t>
      </w:r>
    </w:p>
    <w:p>
      <w:pPr>
        <w:spacing w:before="40" w:after="40"/>
        <w:ind w:left="283"/>
      </w:pPr>
      <w:r>
        <w:rPr>
          <w:rFonts w:ascii="Calibri" w:hAnsi="Calibri"/>
          <w:b/>
          <w:color w:val="4A6B25"/>
          <w:sz w:val="20"/>
        </w:rPr>
        <w:t xml:space="preserve">2. </w:t>
      </w:r>
      <w:r>
        <w:rPr>
          <w:rFonts w:ascii="Calibri" w:hAnsi="Calibri"/>
          <w:b w:val="0"/>
          <w:color w:val="3A4A28"/>
          <w:sz w:val="20"/>
        </w:rPr>
        <w:t>FY2026 earnings report (August 17, 2026) could validate the $6M EBITDA target and demonstrate that recapitalization has translated into sustainable profitability [1]</w:t>
      </w:r>
    </w:p>
    <w:p>
      <w:pPr>
        <w:spacing w:before="40" w:after="40"/>
        <w:ind w:left="283"/>
      </w:pPr>
      <w:r>
        <w:rPr>
          <w:rFonts w:ascii="Calibri" w:hAnsi="Calibri"/>
          <w:b/>
          <w:color w:val="4A6B25"/>
          <w:sz w:val="20"/>
        </w:rPr>
        <w:t xml:space="preserve">3. </w:t>
      </w:r>
      <w:r>
        <w:rPr>
          <w:rFonts w:ascii="Calibri" w:hAnsi="Calibri"/>
          <w:b w:val="0"/>
          <w:color w:val="3A4A28"/>
          <w:sz w:val="20"/>
        </w:rPr>
        <w:t>Sustained oil prices above $70 WTI would maximize unhedged production value and could attract institutional attention to the deeply discounted book value (0.46x P/B)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Illiquidity — daily trading value of ~$838K makes the stock untradeable for any meaningful position size, and a penny stock with $24M market cap has no margin of safety against adverse events [2]</w:t>
      </w:r>
    </w:p>
    <w:p>
      <w:pPr>
        <w:spacing w:before="40" w:after="40"/>
        <w:ind w:left="283"/>
      </w:pPr>
      <w:r>
        <w:rPr>
          <w:rFonts w:ascii="Calibri" w:hAnsi="Calibri"/>
          <w:b/>
          <w:color w:val="4A6B25"/>
          <w:sz w:val="20"/>
        </w:rPr>
        <w:t xml:space="preserve">2. </w:t>
      </w:r>
      <w:r>
        <w:rPr>
          <w:rFonts w:ascii="Calibri" w:hAnsi="Calibri"/>
          <w:b w:val="0"/>
          <w:color w:val="3A4A28"/>
          <w:sz w:val="20"/>
        </w:rPr>
        <w:t>Farmout execution dependency — the 92-well San Andres horizontal drilling program depends entirely on the farmout partner's capital, timeline, and operational capabilities, any of which could fail [1]</w:t>
      </w:r>
    </w:p>
    <w:p>
      <w:pPr>
        <w:spacing w:before="40" w:after="40"/>
        <w:ind w:left="283"/>
      </w:pPr>
      <w:r>
        <w:rPr>
          <w:rFonts w:ascii="Calibri" w:hAnsi="Calibri"/>
          <w:b/>
          <w:color w:val="4A6B25"/>
          <w:sz w:val="20"/>
        </w:rPr>
        <w:t xml:space="preserve">3. </w:t>
      </w:r>
      <w:r>
        <w:rPr>
          <w:rFonts w:ascii="Calibri" w:hAnsi="Calibri"/>
          <w:b w:val="0"/>
          <w:color w:val="3A4A28"/>
          <w:sz w:val="20"/>
        </w:rPr>
        <w:t>Cash crisis potential — only $875.6K cash on hand with -$21.56M annual FCF burn; any delay in production ramp or oil price decline below hedge levels could force dilutive capital raises or covenant issues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production in the Permian Basin is a physical-world operation that AI structurally cannot displace — extracting, processing, and transporting crude oil requires physical infrastructure, wells, pumps, and geology that no AI system can substitute [4]. The business involves deeply regulated processes (drilling permits, environmental compliance, well operations) that provide additional structural protection. Furthermore, AI adoption is a net positive for oil demand: the explosive growth of AI data centers requires massive electricity consumption, much of it generated from natural gas, increasing demand for the hydrocarbons EON produces [1]. Analysts see zero substitution risk for physical oil production. AI Opportunity (0/1): No evidence of AI adoption or AI-driven revenue generation. EON is a 12-employee conventional oil producer without the scale or resources to invest in AI technology for operational optimization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EON Resources 2025 Results Preview and 2026 Growth Outlook — Recapitalization Retired $41M Debt, EBITDA Forecast $6M, 92-Well San Andres Drilling Program, South Justis Acquisition, TipRanks/StockTitan,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EONR Key Statistics: Avg Volume 1.58M, Stock Price $0.53, ROE -4.96%, Profit Margin -12.19%, D/E 8.85%, Cash $875.6K, FCF -$21.56M,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EONR Balance Sheet: Total Debt $1M (TTM), Shareholders' Equity $60.9M, Revenue TTM $17.3M, Market Cap $24.3M,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EON Resources Company Profile and ESG — 342 Producing Wells, 207 Injection Wells, 13,700 Acres, Permian Basin, 12 Employees, ESG Committee Formation,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