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EPRT</w:t>
      </w:r>
      <w:r>
        <w:rPr>
          <w:rFonts w:ascii="Calibri" w:hAnsi="Calibri"/>
          <w:b/>
          <w:color w:val="1A2010"/>
          <w:sz w:val="40"/>
        </w:rPr>
        <w:t xml:space="preserve">  Essential Properties Realty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2026-07-18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Essential Properties Realty Trust acquires, owns, and manages single-tenant net lease properties leased to middle-market companies operating service-based and experience-based businesses including restaurants, car washes, automotive services, medical and dental services, convenience stores, and early childhood education. The REIT specializes in sale-leaseback transactions providing growth capital to tenants, headquartered in Princeton, New Jersey, and led by founder-CEO Peter Mavoides.</w:t>
      </w:r>
    </w:p>
    <w:p>
      <w:r>
        <w:rPr>
          <w:rFonts w:ascii="Calibri" w:hAnsi="Calibri"/>
          <w:b/>
          <w:color w:val="6E8450"/>
          <w:sz w:val="18"/>
        </w:rPr>
        <w:t>56 Employees · https://essentialproperties.com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EPRT closed $388.6M of investments in Q1 2026 at a 7.7% weighted average cash cap rate and raised full-year 2026 investment guidance to $1.1-1.5B, extending an eight-year growth run from ~300 to over 2,000 properties since its 2018 IPO [1]. AI Deployment (0/2): No AI-powered products or quantified AI-driven efficiencies were found; as a physical net-lease REIT, EPRT does not deploy customer-facing AI [2]. Market Share (1/2): EPRT occupies a differentiated middle-market sale-leaseback niche versus larger net lease peers (Realty Income, NNN, Spirit), targeting $10-75M revenue operators, but it is not the category leader by asset size [1]. Product Pipeline (1/2): FY2026 investment guidance of $1.1-1.5B with specific quarterly deployment cadence demonstrates concrete pipeline visibility [1]. R&amp;D Intensity (0/1): As a REIT, EPRT has no R&amp;D function; capital allocation to property acquisitions is the equivalent investment activity.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EPRT's stated purpose — to be 'the premier capital partner for service-oriented, middle-market businesses' through sale-leaseback transactions — is clear and identifies the stakeholder benefit (growth capital for small operators) but does not articulate a transformative vision beyond capital provision [2]. Community Impact (0/2): EPRT publishes a Corporate Responsibility Report, but no specific charitable programs, foundation, or community investment with dollar figures were identified [3]. Employee Retention (1/2): With only 56 employees and founder-CEO Mavoides leading continuously since 2016, the organization shows exceptional leadership continuity, though no specific retention metrics were found [1]. Insider Buying (0/2): No evidence of meaningful net insider buying by CEO Mavoides or other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from financial metrics (dividend stock). D/E of 60% clears the 70% target (score 1.0). Q1 2026 revenue growth of 22.7% YoY and a ~25% 5yr revenue CAGR both cap at 1.0, reflecting sustained acquisition-driven expansion [1]. Profit margin of 43.5% comfortably clears the 20% target (score 1.0), and Forward P/E of 24.4x scores 0.89 versus the 20x target. ROE of 6.26% is the weakest core metric (score 0.42), typical for REITs with large equity bases. On dividend metrics, 8 consecutive years of payments and growth (score 0.80 each, 2x weight on payments) and a 5.3% 5yr dividend growth CAGR (score 0.88, 2x weight) are solid, but the GAAP payout ratio of 98.35% is near the ceiling (score 0.03) even though the AFFO-basis payout ratio is a much healthier 62% per Q1 2026 results [1][4]. Liquidity floor cleared: 2.13M avg volume x $33.33 = $70.9M.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EPRT shows a mixed infinite game mindset. Founder-CEO Mavoides has executed a single, consistent strategy — providing growth capital to middle-market operators through sale-leasebacks — since 2016 without pivots or mission drift, and the deliberate targeting of the middle-market niche (rather than competing head-on with larger REITs) reflects an infinite competitive mindset. However, the company is only about a decade old, has not been tested by a severe existential crisis, and its strategic language remains largely financial (AFFO, cap rates, investment volumes) rather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EPRT's purpose of providing growth capital to middle-market, service-oriented businesses connects real estate ownership to a genuine economic function and has been consistently articulated since founding [1][2]. The tenant focus (restaurants, medical, childcare, car washes) creates a portfolio aligned with community-serving businesses, but the cause has not been tested through crisis or multi-decade consistency given the company's 2016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A lean 56-person team under a single CEO since inception (Mavoides, CEO since 2018, leading the predecessor entity since 2016) suggests organizational cohesion, and board composition (nearly 90% independent, ~40% female) signals governance quality, but no direct evidence of employee empowerment or psychological safety was found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EPRT deliberately avoids head-to-head competition with larger net lease REITs (Realty Income, NNN, Spirit), instead targeting the middle-market niche those competitors overlook — a 'find your own game' approach that reflects self-improvement through niche excellence rather than finite competitive destruction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EPRT has pursued the same middle-market sale-leaseback strategy throughout its roughly decade-long existence with no dramatic strategic pivot; the tenant mix's inherent resilience during COVID-19 reflected sound initial underwriting rather than a forced strategic shift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has maintained disciplined underwriting (7.7% weighted average cap rate in Q1 2026) and retained a sector-low ~62% AFFO payout ratio rather than maximizing near-term distributions, generating $40M in retained free cash flow in Q1 2026 alone — a prudent long-term capital allocation choice, though not a costly sacrifice of near-term performance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EPRT continues to be one of the fastest-growing net lease REITs, closing $388.6M in Q1 2026 investments at a 7.7% cash cap rate and raising full-year 2026 investment guidance to $1.1-1.5B and AFFO per share guidance to $2.00-$2.05 (7-8% growth) [1]. Q1 2026 revenue grew 22.7% YoY to $158.8M and Core FFO per share rose 13% to $0.54, extending an eight-year track record of consistent, relationship-driven growth (85% repeat tenant sourcing) since the 2018 IPO. The balance sheet remains conservative at 60% D/E with a sector-low ~62% AFFO payout ratio, and the tenant base — 92% service-oriented and experience-based businesses like restaurants, car washes, and medical offices — is structurally resistant to both e-commerce and AI disruption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growth durability. Forward P/E of 24.4x is a premium to larger net lease peers, pricing in continued double-digit AFFO growth that depends on sustained access to favorable debt and equity markets — EPRT has issued substantial equity to fund acquisitions, diluting existing shareholders [1][4]. The GAAP payout ratio of 98.35% leaves thin GAAP earnings coverage even though the AFFO-basis payout is healthier. ROE of 6.26% is well below the 15% target, reflecting a REIT's large equity base rather than a deficiency, but it caps the Infrastructure score. Middle-market tenants (restaurants, car washes, service businesses with $10-75M revenue) carry higher credit risk than the investment-grade tenants targeted by larger peers like Realty Income, and the company has not been tested through a severe economic downturn in its roughly decade-long history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investment guidance of $1.1-1.5B at 7.7%+ cap rates, following $388.6M already deployed in Q1 2026, driving continued AFFO per share growth toward the $2.00-$2.05 guidance range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Sector-low ~62% AFFO payout ratio generating substantial retained free cash flow ($40M in Q1 2026 alone), reducing reliance on external equity issuance to fund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Middle-market sale-leaseback niche with an 85% repeat tenant sourcing rate creating a defensible, relationship-driven acquisition pipeline that larger competitors do not prioritize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Interest rate sensitivity — rising rates increase the cost of capital and compress REIT valuations, pressuring the 3.72% dividend yield relative to risk-free alternatives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Middle-market tenant credit risk — restaurants, car washes, and service businesses with $10-75M revenue face higher default probability than investment-grade tenants, creating concentration risk in a downturn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Growth dependent on external capital access — 22.7% revenue growth is acquisition-driven and requires continued favorable debt/equity market access; a credit market disruption would slow the growth engine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EPRT's business of owning and leasing physical, single-tenant real estate — restaurants, car washes, medical/dental offices, early childhood education, convenience stores — is structurally immune to AI disruption; these are brick-and-mortar businesses customers must physically visit [2]. Service-oriented and experience-based tenants represent 92% of cash annual base rent, a mix specifically selected for e-commerce and, by extension, AI resistance [2]. The sale-leaseback transaction model requires human relationship sourcing, underwriting, and legal contracting that AI tools can enhance but not replace. AI Opportunity (0/1): No meaningful AI-related revenue was identified; any internal use of AI for underwriting or portfolio analytics does not generate customer-facing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Essential Properties Q1 2026 Earnings Release and 8-K — $388.6M invested at 7.7% cap rate, revenue up 22.7%, Core FFO $0.54/share (+13%), raised FY2026 AFFO guidance to $2.00-$2.05,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Essential Properties Company Profile and Q1 2026 Earnings Call Commentary — CEO Peter Mavoides, tenant mix 92% service/experience-based cash ABR, essentialproperties.com, Yahoo Finance,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Essential Properties 2023 Corporate Responsibility Report and DEF 14A Governance Disclosures — board composition, ESG oversight, SEC filings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EPRT Key Statistics, Financials, and Dividend History,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