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EQR</w:t>
      </w:r>
      <w:r>
        <w:rPr>
          <w:rFonts w:ascii="Calibri" w:hAnsi="Calibri"/>
          <w:b/>
          <w:color w:val="1A2010"/>
          <w:sz w:val="40"/>
        </w:rPr>
        <w:t xml:space="preserve">  Equity Residential</w:t>
      </w:r>
    </w:p>
    <w:p>
      <w:pPr>
        <w:spacing w:after="120"/>
      </w:pPr>
      <w:r>
        <w:rPr>
          <w:rFonts w:ascii="Calibri" w:hAnsi="Calibri"/>
          <w:b/>
          <w:color w:val="6E8450"/>
          <w:sz w:val="18"/>
        </w:rPr>
        <w:t>DIVIDEND SLEEVE · 2026-07-13 · Inspire: 51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NYSE · United States</w:t>
      </w:r>
    </w:p>
    <w:p>
      <w:pPr>
        <w:spacing w:after="80"/>
      </w:pPr>
      <w:r>
        <w:rPr>
          <w:rFonts w:ascii="Calibri" w:hAnsi="Calibri"/>
          <w:b w:val="0"/>
          <w:color w:val="3A4A28"/>
          <w:sz w:val="20"/>
        </w:rPr>
        <w:t>Equity Residential is one of the nation's largest publicly traded owners and operators of high-quality rental apartments, with approximately 80,000 units concentrated in urban and high-density suburban locations across top U.S. markets including Boston, New York, Washington D.C., Seattle, San Francisco, Denver, Atlanta, and Dallas-Fort Worth.</w:t>
      </w:r>
    </w:p>
    <w:p>
      <w:r>
        <w:rPr>
          <w:rFonts w:ascii="Calibri" w:hAnsi="Calibri"/>
          <w:b/>
          <w:color w:val="6E8450"/>
          <w:sz w:val="18"/>
        </w:rPr>
        <w:t>2,700 Employees · https://www.equityapartments.com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Equity Residential has repositioned its portfolio over the past five years, exiting select suburban assets and expanding into Sun Belt growth markets including Atlanta, Denver, and Dallas-Fort Worth, but this is incremental capital allocation, not a transformative business model shift [1][2]. AI Deployment (0/2): No evidence of AI-powered products or quantified AI-driven cost savings in property management operations. Market Share (1/2): EQR is one of the three largest publicly traded apartment REITs in the U.S. with approximately 80,000 units, maintaining a premium market position in high-barrier-to-entry coastal and expansion markets [1]. Product Pipeline (1/2): Development pipeline includes continued expansion into growth markets, and Q1 2026 guidance projects 1.2%-3.2% revenue growth supported by easing supply pressures and high occupancy [1][2]. R&amp;D Intensity (1/1): First multifamily REIT to issue a green bond in 2018, with sustained investment in energy efficiency and sustainability technology across the portfolio over a decade of ESG reporting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Equity Residential's purpose centers on creating exceptional living experiences in high-quality communities, which is clear but not distinctive — functionally interchangeable with any premium apartment REIT's stated mission. Community Impact (1/2): The company was the first multifamily REIT to issue a green bond, has published ten annual ESG reports, won the Gold Nareit DEI Award in 2021, and maintains a Board with 40% women and people of color representation [3]. Employee Retention (0/2): No publicly available data on employee turnover, average tenure, or specific retention initiatives. Insider Buying (0/2): Insider ownership stands at 0.65% with no notable net insider buying in the last 12 months; recent insider activity consists primarily of stock option grants to board members rather than open-market purchases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74% is near the 70% target, reflecting disciplined leverage for a REIT [4]. ROE of 10.02% is below the 15% target but typical for apartment REITs where depreciation depresses returns. Profit margin of 36.2% exceeds the 20% target, reflecting the capital-light operating model of apartment management [4]. Revenue growth of 3.42% YoY and estimated 3.6% 5-year CAGR are modest but consistent for a mature REIT [1]. Forward P/E of 45.71 is elevated, though this reflects REIT-specific GAAP accounting where large depreciation charges compress reported earnings; P/FFO of approximately 17x based on NFFO guidance of $4.02-$4.14 per share is more representative of valuation [1][4]. Dividend metrics are mixed: 33 consecutive years of payments and 4.08% yield are strong, but GAAP payout ratio exceeds 100% and 5-year dividend growth CAGR of 2.9% trails inflation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Equity Residential operates as a competent, financially disciplined REIT but lacks the deeper purpose and organizational characteristics Sinek associates with infinite game players. The company optimizes for total shareholder return through portfolio repositioning and capital allocation rather than pursuing a transformative vision of what housing communities could become. The aggressive $219M buyback program signals financial acumen but not a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Equity Residential's stated purpose around creating quality living experiences is functionally interchangeable with any premium apartment REIT. While housing is essential infrastructure, EQR executes it primarily as a financial investment vehicle optimized for total shareholder return. The company's strategic decisions — portfolio repositioning, buybacks, dividend policy — trace to financial metrics, not to a vision of a better future for residents or communities.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EQR has operated for over 30 years without major organizational crises or cultural controversies. The company maintains stable leadership and a professional REIT management structure. However, no specific evidence of exceptional employee empowerment, long tenure, or cultural practices that create psychological safety was found. The organization appears functionally stable rather than distinctively high-trust.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commentary that references learning from competitors like AvalonBay, Camden, or UDR. Competitive language in earnings calls and investor presentations focuses on EQR's differentiated market positioning and portfolio quality rather than acknowledging rivals' strengths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Over the past decade, EQR has evolved its portfolio from a suburban/urban mix to a focused strategy in high-barrier-to-entry coastal markets plus selective Sun Belt expansion (Atlanta, Denver, Dallas-Fort Worth) [2]. This strategic adaptation demonstrates willingness to shift capital allocation, but it remains within the same apartment REIT business model rather than representing a transformative reinvention of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demonstrated conviction by deploying $219.4 million to repurchase 3.46 million shares at an average price of $63.42 in Q1 2026, publicly calling the stock 'a bargain' — a meaningful capital allocation bet during uncertain market conditions [5]. The company's decision to exit suburban assets and concentrate in high-barrier urban markets required conviction in the long-term urbanization thesis. However, these decisions are driven by financial analysis rather than principled long-term investment against short-term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Equity Residential delivered Q1 2026 rental revenues of $779.8 million with NFFO per share of $0.99 (+4.2% YoY), supported by 96.1% occupancy and 2.2% same-store revenue growth [1]. The company maintains full-year 2026 NFFO guidance of $4.02-$4.14 per share, implying a P/FFO of approximately 17x at the current $69.89 stock price. With $3.11 billion in TTM revenue, a 74% D/E ratio, 36.2% profit margin, and a 4.08% dividend yield, EQR offers a stable income stream from a portfolio of 80,000 apartment units concentrated in high-barrier-to-entry markets where supply constraints support pricing power [1][4].</w:t>
      </w:r>
    </w:p>
    <w:p>
      <w:pPr>
        <w:spacing w:after="120"/>
      </w:pPr>
      <w:r>
        <w:rPr>
          <w:rFonts w:ascii="Calibri" w:hAnsi="Calibri"/>
          <w:b w:val="0"/>
          <w:color w:val="3A4A28"/>
          <w:sz w:val="20"/>
        </w:rPr>
        <w:t>The primary concern is limited growth runway. Same-store NOI grew just 1.4% in Q1 2026, with 3.7% expense increases partially offsetting 2.2% revenue growth [1]. Revenue growth guidance of 1.2%-3.2% for 2026 is modest, and the 5-year revenue CAGR of approximately 3.6% barely exceeds inflation. The forward P/E of 45.71 (on a GAAP basis) reflects the structural REIT challenge of depreciation-compressed earnings. The 5-year dividend growth CAGR of 2.9% is below inflation, and GAAP payout ratio above 100% — while typical for REITs — limits dividend acceleration. Innovation and organizational culture score low in the IOWN framework: REITs fundamentally lack the transformative mission and innovation capacity that drive higher scores in the Excellence dimension.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Easing apartment supply pressures in 2026-2027 as new construction starts decline, supporting rent growth acceleration across EQR's urban and Sun Belt markets</w:t>
      </w:r>
    </w:p>
    <w:p>
      <w:pPr>
        <w:spacing w:before="40" w:after="40"/>
        <w:ind w:left="283"/>
      </w:pPr>
      <w:r>
        <w:rPr>
          <w:rFonts w:ascii="Calibri" w:hAnsi="Calibri"/>
          <w:b/>
          <w:color w:val="4A6B25"/>
          <w:sz w:val="20"/>
        </w:rPr>
        <w:t xml:space="preserve">2. </w:t>
      </w:r>
      <w:r>
        <w:rPr>
          <w:rFonts w:ascii="Calibri" w:hAnsi="Calibri"/>
          <w:b w:val="0"/>
          <w:color w:val="3A4A28"/>
          <w:sz w:val="20"/>
        </w:rPr>
        <w:t>Continued share repurchase program providing accretive capital return at prices management considers undervalued relative to NAV</w:t>
      </w:r>
    </w:p>
    <w:p>
      <w:pPr>
        <w:spacing w:before="40" w:after="40"/>
        <w:ind w:left="283"/>
      </w:pPr>
      <w:r>
        <w:rPr>
          <w:rFonts w:ascii="Calibri" w:hAnsi="Calibri"/>
          <w:b/>
          <w:color w:val="4A6B25"/>
          <w:sz w:val="20"/>
        </w:rPr>
        <w:t xml:space="preserve">3. </w:t>
      </w:r>
      <w:r>
        <w:rPr>
          <w:rFonts w:ascii="Calibri" w:hAnsi="Calibri"/>
          <w:b w:val="0"/>
          <w:color w:val="3A4A28"/>
          <w:sz w:val="20"/>
        </w:rPr>
        <w:t>Expansion into high-growth Sun Belt markets (Atlanta, Denver, Dallas-Fort Worth) diversifying revenue base beyond coastal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guidance of 1.2%-3.2% and 5-year CAGR of 3.6% barely exceed inflation, limiting total return potential in a rising-rate environment</w:t>
      </w:r>
    </w:p>
    <w:p>
      <w:pPr>
        <w:spacing w:before="40" w:after="40"/>
        <w:ind w:left="283"/>
      </w:pPr>
      <w:r>
        <w:rPr>
          <w:rFonts w:ascii="Calibri" w:hAnsi="Calibri"/>
          <w:b/>
          <w:color w:val="4A6B25"/>
          <w:sz w:val="20"/>
        </w:rPr>
        <w:t xml:space="preserve">2. </w:t>
      </w:r>
      <w:r>
        <w:rPr>
          <w:rFonts w:ascii="Calibri" w:hAnsi="Calibri"/>
          <w:b w:val="0"/>
          <w:color w:val="3A4A28"/>
          <w:sz w:val="20"/>
        </w:rPr>
        <w:t>Forward P/E of 45.71 (GAAP) and low GAAP earnings coverage of the $2.81 annual dividend create vulnerability if FFO trends disappoint</w:t>
      </w:r>
    </w:p>
    <w:p>
      <w:pPr>
        <w:spacing w:before="40" w:after="40"/>
        <w:ind w:left="283"/>
      </w:pPr>
      <w:r>
        <w:rPr>
          <w:rFonts w:ascii="Calibri" w:hAnsi="Calibri"/>
          <w:b/>
          <w:color w:val="4A6B25"/>
          <w:sz w:val="20"/>
        </w:rPr>
        <w:t xml:space="preserve">3. </w:t>
      </w:r>
      <w:r>
        <w:rPr>
          <w:rFonts w:ascii="Calibri" w:hAnsi="Calibri"/>
          <w:b w:val="0"/>
          <w:color w:val="3A4A28"/>
          <w:sz w:val="20"/>
        </w:rPr>
        <w:t>Concentration in urban markets exposes EQR to remote work-driven suburban migration and potential rent regulation in cities like New York and San Francisco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Equity Residential's core business — owning, maintaining, and leasing physical apartment buildings — is structurally immune to AI disruption. Property management requires on-site maintenance crews, physical infrastructure, tenant relations, and regulatory compliance that AI cannot replicate [1]. No analyst has flagged AI as a substitution risk for apartment REITs; if anything, AI-driven economic growth and tech worker migration to EQR's urban markets could increase apartment demand. The physical nature of real estate — construction, plumbing, HVAC, landscaping — places it firmly outside AI's displacement capability. AI Opportunity (0/1): EQR does not generate meaningful revenue from AI-related products or services. Smart home technology and virtual leasing tools are operational improvements, not AI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Equity Residential Q1 2026 Earnings Release and NFFO Guidance, April 28, 2026</w:t>
      </w:r>
    </w:p>
    <w:p>
      <w:pPr>
        <w:spacing w:before="20" w:after="20"/>
        <w:ind w:left="170"/>
      </w:pPr>
      <w:r>
        <w:rPr>
          <w:rFonts w:ascii="Calibri" w:hAnsi="Calibri"/>
          <w:b/>
          <w:color w:val="4A6B25"/>
          <w:sz w:val="15"/>
        </w:rPr>
        <w:t xml:space="preserve">2. </w:t>
      </w:r>
      <w:r>
        <w:rPr>
          <w:rFonts w:ascii="Calibri" w:hAnsi="Calibri"/>
          <w:b w:val="0"/>
          <w:color w:val="3A4A28"/>
          <w:sz w:val="17"/>
        </w:rPr>
        <w:t>Equity Residential 2026 Strategic Outlook — Share Repurchase Program and Portfolio Strategy, February 2026</w:t>
      </w:r>
    </w:p>
    <w:p>
      <w:pPr>
        <w:spacing w:before="20" w:after="20"/>
        <w:ind w:left="170"/>
      </w:pPr>
      <w:r>
        <w:rPr>
          <w:rFonts w:ascii="Calibri" w:hAnsi="Calibri"/>
          <w:b/>
          <w:color w:val="4A6B25"/>
          <w:sz w:val="15"/>
        </w:rPr>
        <w:t xml:space="preserve">3. </w:t>
      </w:r>
      <w:r>
        <w:rPr>
          <w:rFonts w:ascii="Calibri" w:hAnsi="Calibri"/>
          <w:b w:val="0"/>
          <w:color w:val="3A4A28"/>
          <w:sz w:val="17"/>
        </w:rPr>
        <w:t>Equity Residential ESG Report (10th Annual) and Corporate Responsibility, 2023-2025</w:t>
      </w:r>
    </w:p>
    <w:p>
      <w:pPr>
        <w:spacing w:before="20" w:after="20"/>
        <w:ind w:left="170"/>
      </w:pPr>
      <w:r>
        <w:rPr>
          <w:rFonts w:ascii="Calibri" w:hAnsi="Calibri"/>
          <w:b/>
          <w:color w:val="4A6B25"/>
          <w:sz w:val="15"/>
        </w:rPr>
        <w:t xml:space="preserve">4. </w:t>
      </w:r>
      <w:r>
        <w:rPr>
          <w:rFonts w:ascii="Calibri" w:hAnsi="Calibri"/>
          <w:b w:val="0"/>
          <w:color w:val="3A4A28"/>
          <w:sz w:val="17"/>
        </w:rPr>
        <w:t>StockAnalysis.com — EQR Key Statistics, Valuation, and Financial Data,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Equity Residential Investor Relations — Q1 2026 Share Repurchase Activity and Insider Transactions,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