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w:t>
      </w:r>
      <w:r>
        <w:rPr>
          <w:rFonts w:ascii="Calibri" w:hAnsi="Calibri"/>
          <w:b/>
          <w:color w:val="1A2010"/>
          <w:sz w:val="40"/>
        </w:rPr>
        <w:t xml:space="preserve">  Eversource Energy</w:t>
      </w:r>
    </w:p>
    <w:p>
      <w:pPr>
        <w:spacing w:after="120"/>
      </w:pPr>
      <w:r>
        <w:rPr>
          <w:rFonts w:ascii="Calibri" w:hAnsi="Calibri"/>
          <w:b/>
          <w:color w:val="6E8450"/>
          <w:sz w:val="18"/>
        </w:rPr>
        <w:t>DIVIDEND SLEEVE · 2026-07-12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Regulated Electric · NYSE · United States</w:t>
      </w:r>
    </w:p>
    <w:p>
      <w:pPr>
        <w:spacing w:after="80"/>
      </w:pPr>
      <w:r>
        <w:rPr>
          <w:rFonts w:ascii="Calibri" w:hAnsi="Calibri"/>
          <w:b w:val="0"/>
          <w:color w:val="3A4A28"/>
          <w:sz w:val="20"/>
        </w:rPr>
        <w:t>Eversource Energy is New England's largest energy delivery company, serving approximately 4.4 million electric, natural gas, and water customers across Connecticut, Massachusetts, and New Hampshire. Following the 2025 exit from offshore wind, Eversource is a pure-play regulated transmission and distribution utility with a $26.5 billion 2026-2030 capex plan focused on grid modernization and AI data-center load growth.</w:t>
      </w:r>
    </w:p>
    <w:p>
      <w:r>
        <w:rPr>
          <w:rFonts w:ascii="Calibri" w:hAnsi="Calibri"/>
          <w:b/>
          <w:color w:val="6E8450"/>
          <w:sz w:val="18"/>
        </w:rPr>
        <w:t>10,000 Employees · https://www.eversource.com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Eversource's most significant strategic pivot was the exit from offshore wind (completed 2025), removing a $2.4B capital sink and refocusing on core regulated operations [1][3]. The potential Aquarion water utility sale further simplifies the portfolio. Core regulated utility business model is structurally unchanged from five years ago. AI Deployment (2/2): Eversource has shipped AI-powered SmartInspect (Edison Award-winning grid monitoring), a digital-twin outage-prevention model that prevented 40,000 customer outages in proof of concept, and an AI-powered dynamic monitoring dashboard for high-pressure cable networks (2025 AEIC Achievement Award) [2]. Market Share (1/2): Eversource is New England's largest electric/gas utility with stable regulated monopoly footprint across three states, but service territory is fixed by regulation with no competitive share dynamics. Pipeline (1/2): $26.5B five-year capex plan (2026-2030) supporting 5-7% EPS growth through 2030, anchored in grid modernization and AI-driven data-center load growth [1]. R&amp;D Intensity (0/1): No disclosed R&amp;D spending above utility industry norms; innovation is project-based rather than structural.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Eversource's mission to 'safely deliver reliable energy and superior customer service' is clear but interchangeable with any regulated utility peer — it describes operational requirements rather than a deeper purpose [2]. Community Impact (2/2): Eversource Energy Foundation donates millions annually to STEM education, workforce development, and energy affordability programs across New England, with structured employee volunteerism programs tracked at scale [4]. The company earned industry-leading #1 ESG and corporate responsibility recognitions. Employee Retention (0/2): CEO Jim Judge served since 2016 (10-year tenure), and the 2025 Leadership Development Cohort program demonstrates investment in talent. However, Glassdoor ratings of 3.7/5 are average with multiple reviews citing overloaded employees and management concerns [2]. Insider Buying (1/2): Executive team maintains meaningful equity holdings and CEO has tenured exposure since tenure began, but net insider transaction activity over the last 12 months has been balanced to slightly negative.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Eversource's post-wind-exit financials show meaningful improvement: Q1 2026 revenue of $4.504B (+9.37% YoY), TTM revenue $13.933B (+9.83%), and ROE improving to 10.97% (from 5.4% in FY2024) as offshore wind impairment drag subsides [1][5]. Forward P/E of 15.92 is attractive for a Dividend Aristocrat regulated monopoly. D/E of 182% remains elevated by utility standards, reflecting heavy capex financing. The dividend franchise is the crown jewel: 27 consecutive years of growth, 4.26% yield, $3.15/share (5% increase for 2026), 5.81% 5-year CAGR, and ~67.5% payout ratio providing 30%+ coverage cushion [4]. FERC's ROE reduction and Aquarion sale impacts forced a guidance trim to $4.57-$4.72 (from $4.80-$4.95), but the long-term 5-7% growth trajectory through 2030 remains intact [1]. Liquidity easily cleared: ~4M avg volume x $74.44 = ~$298M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Eversource plays the very long game implicit in century-old utility infrastructure, demonstrated by a 27-year dividend growth streak through multiple crises (2008 financial crisis, COVID, offshore wind $2.4B loss, FERC ROE cuts) and a $26.5B decade-long capex plan. The offshore wind exit showed both courage (admitting failure) and flexibility (pivoting to pure-play regulated). But the company's middling culture data, regulated monopoly structure limiting competitive learning, and standard utility mission cap the score at MIXED.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Eversource's stated mission of safely delivering reliable energy is a table-stakes regulatory requirement rather than a distinctive Just Cause that Sinek would recognize. Clean energy aspirations (carbon neutrality 2030 for operations) are genuine but were tested by the offshore wind retreat — the company exited when the cause became expensive [3]. The purpose reads as compliance and operational excellence rather than a vision of a better future that people sacrifice to advance.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Jim Judge served 10 years (2016-2026) providing leadership stability, the workforce is unionized with long average tenure typical of regulated utilities, and the 2025 Leadership Development Cohort program signals investment in emerging talent. However, Glassdoor 3.7/5 is average, and employee reviews flag concerns including 'overloaded employees,' 'archaic systems,' and management issues [2], preventing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Eversource does not meaningfully compete for customers and does not articulate worthy rivals whose strengths drive self-improvement. Competitive dynamics that matter — regulatory relationships in Connecticut, Massachusetts, and New Hampshire — are framed as adversarial (FERC ROE cuts, CT rate politics) rather than as learning opportunities [5].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offshore wind exit and pivot to pure-play regulated utility demonstrates genuine strategic flexibility — taking $2.4B in losses to remove a failing initiative rather than doubling down [3]. The potential Aquarion water utility sale further reshapes the portfolio. The $26.5B capex plan redirected toward AI data-center load growth shows willingness to rebase strategy around secular demand shifts [1]. However, the core business model (regulated T&amp;D utility) is unchanged since the company's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CEO's decision to exit offshore wind, absorb $2.4B in impairments, and face public criticism for abandoning clean energy demonstrated willingness to sacrifice reputation for financial discipline [3]. The board sustained 27 consecutive years of dividend growth through the offshore wind crisis, FERC ROE reductions, and COVID — maintaining shareholder commitments when earnings pressure was acute [4]. However, the guidance revision (from $4.80-4.95 to $4.57-4.72) and conservative positioning suggest pragmatism rather than bold forward-leaning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Eversource is a cleaner pure-play regulated utility post-offshore-wind exit with improving fundamentals: Q1 2026 revenue of $4.504B (+9.37% YoY), ROE recovering to 10.97% (from 5.4% in FY2024), and a 27-year Dividend Aristocrat streak yielding 4.26% with 5.81% 5-year CAGR [1][4]. The $26.5B 2026-2030 capex plan supports 5-7% EPS growth through 2030, anchored in grid modernization and AI data-center load growth across New England [1]. Forward P/E of 15.92 is attractive for a regulated monopoly with Dividend Aristocrat status, and AI tools like SmartInspect and digital-twin outage prevention are reducing operating costs [2]. Structurally immune to AI disruption while benefiting from AI-driven electricity demand growth. Inspire alignment of 45 (ALIGNED) with 18 positive ESG attributions reflects the utility's essential infrastructure role.</w:t>
      </w:r>
    </w:p>
    <w:p>
      <w:pPr>
        <w:spacing w:after="120"/>
      </w:pPr>
      <w:r>
        <w:rPr>
          <w:rFonts w:ascii="Calibri" w:hAnsi="Calibri"/>
          <w:b w:val="0"/>
          <w:color w:val="3A4A28"/>
          <w:sz w:val="20"/>
        </w:rPr>
        <w:t>The bear case centers on regulatory headwinds, balance sheet leverage, and residual offshore wind exposure. FERC's 100bps reduction in allowed transmission base ROE forced 2026 EPS guidance down to $4.57-$4.72 (from $4.80-$4.95), directly compressing near-term returns [5]. D/E of 182% remains elevated and finances a $26.5B capex plan competing with dividend coverage. The potential Aquarion sale and Revolution Wind stop-work order create lingering liability uncertainty, with Fitch flagging financial risk [3]. Connecticut rate politics remain adversarial following 2025 bill-shock episodes, threatening future rate-case outcomes in a key territory. The stock's 10% appreciation from $67.60 to $74.44 since the prior screen has compressed the yield from 4.66% to 4.26%, making entry less compelling for pure income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data-center load growth across New England driving accelerated transmission capex and rate base expansion under the $26.5B 2026-2030 plan [1]</w:t>
      </w:r>
    </w:p>
    <w:p>
      <w:pPr>
        <w:spacing w:before="40" w:after="40"/>
        <w:ind w:left="283"/>
      </w:pPr>
      <w:r>
        <w:rPr>
          <w:rFonts w:ascii="Calibri" w:hAnsi="Calibri"/>
          <w:b/>
          <w:color w:val="4A6B25"/>
          <w:sz w:val="20"/>
        </w:rPr>
        <w:t xml:space="preserve">2. </w:t>
      </w:r>
      <w:r>
        <w:rPr>
          <w:rFonts w:ascii="Calibri" w:hAnsi="Calibri"/>
          <w:b w:val="0"/>
          <w:color w:val="3A4A28"/>
          <w:sz w:val="20"/>
        </w:rPr>
        <w:t>ROE recovery from 5.4% (FY2024) to 10.97% (current TTM) demonstrating post-wind-exit earnings normalization with further improvement expected as impairment drag fully subsides [5]</w:t>
      </w:r>
    </w:p>
    <w:p>
      <w:pPr>
        <w:spacing w:before="40" w:after="40"/>
        <w:ind w:left="283"/>
      </w:pPr>
      <w:r>
        <w:rPr>
          <w:rFonts w:ascii="Calibri" w:hAnsi="Calibri"/>
          <w:b/>
          <w:color w:val="4A6B25"/>
          <w:sz w:val="20"/>
        </w:rPr>
        <w:t xml:space="preserve">3. </w:t>
      </w:r>
      <w:r>
        <w:rPr>
          <w:rFonts w:ascii="Calibri" w:hAnsi="Calibri"/>
          <w:b w:val="0"/>
          <w:color w:val="3A4A28"/>
          <w:sz w:val="20"/>
        </w:rPr>
        <w:t>27-year dividend growth streak continuing with 5-7% EPS growth through 2030, supporting a 4.26% yield with ~32.5% coverage cushion at current payout ratio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FERC allowed-ROE cut already forced 2026 EPS trim to $4.57-$4.72; further regulatory reductions would directly pressure the dividend growth trajectory and 5-7% long-term guidance [5]</w:t>
      </w:r>
    </w:p>
    <w:p>
      <w:pPr>
        <w:spacing w:before="40" w:after="40"/>
        <w:ind w:left="283"/>
      </w:pPr>
      <w:r>
        <w:rPr>
          <w:rFonts w:ascii="Calibri" w:hAnsi="Calibri"/>
          <w:b/>
          <w:color w:val="4A6B25"/>
          <w:sz w:val="20"/>
        </w:rPr>
        <w:t xml:space="preserve">2. </w:t>
      </w:r>
      <w:r>
        <w:rPr>
          <w:rFonts w:ascii="Calibri" w:hAnsi="Calibri"/>
          <w:b w:val="0"/>
          <w:color w:val="3A4A28"/>
          <w:sz w:val="20"/>
        </w:rPr>
        <w:t>D/E of 182% finances heavy capex in a rising-rate environment — interest expense growth competes with dividend coverage, and any credit downgrade would increase financing costs [5]</w:t>
      </w:r>
    </w:p>
    <w:p>
      <w:pPr>
        <w:spacing w:before="40" w:after="40"/>
        <w:ind w:left="283"/>
      </w:pPr>
      <w:r>
        <w:rPr>
          <w:rFonts w:ascii="Calibri" w:hAnsi="Calibri"/>
          <w:b/>
          <w:color w:val="4A6B25"/>
          <w:sz w:val="20"/>
        </w:rPr>
        <w:t xml:space="preserve">3. </w:t>
      </w:r>
      <w:r>
        <w:rPr>
          <w:rFonts w:ascii="Calibri" w:hAnsi="Calibri"/>
          <w:b w:val="0"/>
          <w:color w:val="3A4A28"/>
          <w:sz w:val="20"/>
        </w:rPr>
        <w:t>Connecticut rate politics and residual Revolution Wind stop-work liability create ongoing regulatory and legal uncertainty that caps the stock's multiple relative to peers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Eversource is structurally immune to AI disruption and is an active AI beneficiary. Regulated electric and gas utilities cannot be replaced by software — physical poles, wires, transformers, substations, and gas pipelines require real-world infrastructure that AI cannot substitute [2]. Analysts universally view AI data-center load growth as a multi-decade tailwind for transmission and distribution utilities, and New England buildout for hyperscale data centers is a core thesis driver for Eversource's $26.5B capex plan [1]. AI also powers Eversource's own SmartInspect grid analytics, digital-twin outage prevention (40,000 outages avoided in pilot), and cable network monitoring systems [2]. AI Opportunity (0/1): Eversource deploys AI internally for grid reliability and cost reduction but does not generate meaningful external AI revenue — AI is a cost/reliability efficiency tool, not a product line sold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Eversource Energy Q1 2026 Earnings Release — Revenue $4.504B (+9.37% YoY), Revised 2026 EPS Guidance $4.57-$4.72, SEC 10-Q/8-K, May 2026</w:t>
      </w:r>
    </w:p>
    <w:p>
      <w:pPr>
        <w:spacing w:before="20" w:after="20"/>
        <w:ind w:left="170"/>
      </w:pPr>
      <w:r>
        <w:rPr>
          <w:rFonts w:ascii="Calibri" w:hAnsi="Calibri"/>
          <w:b/>
          <w:color w:val="4A6B25"/>
          <w:sz w:val="15"/>
        </w:rPr>
        <w:t xml:space="preserve">2. </w:t>
      </w:r>
      <w:r>
        <w:rPr>
          <w:rFonts w:ascii="Calibri" w:hAnsi="Calibri"/>
          <w:b w:val="0"/>
          <w:color w:val="3A4A28"/>
          <w:sz w:val="17"/>
        </w:rPr>
        <w:t>Eversource Energy AI Innovation — SmartInspect, Digital-Twin Outage Prevention (40K outages avoided), AEIC AI Dashboard Award, EY Partnership, 2024-2026</w:t>
      </w:r>
    </w:p>
    <w:p>
      <w:pPr>
        <w:spacing w:before="20" w:after="20"/>
        <w:ind w:left="170"/>
      </w:pPr>
      <w:r>
        <w:rPr>
          <w:rFonts w:ascii="Calibri" w:hAnsi="Calibri"/>
          <w:b/>
          <w:color w:val="4A6B25"/>
          <w:sz w:val="15"/>
        </w:rPr>
        <w:t xml:space="preserve">3. </w:t>
      </w:r>
      <w:r>
        <w:rPr>
          <w:rFonts w:ascii="Calibri" w:hAnsi="Calibri"/>
          <w:b w:val="0"/>
          <w:color w:val="3A4A28"/>
          <w:sz w:val="17"/>
        </w:rPr>
        <w:t>Eversource Energy Offshore Wind Exit — $2.4B Losses, Revolution Wind Stop-Work, Aquarion Sale Potential, Utility Dive / RenewableEnergyWorld, 2024-2026</w:t>
      </w:r>
    </w:p>
    <w:p>
      <w:pPr>
        <w:spacing w:before="20" w:after="20"/>
        <w:ind w:left="170"/>
      </w:pPr>
      <w:r>
        <w:rPr>
          <w:rFonts w:ascii="Calibri" w:hAnsi="Calibri"/>
          <w:b/>
          <w:color w:val="4A6B25"/>
          <w:sz w:val="15"/>
        </w:rPr>
        <w:t xml:space="preserve">4. </w:t>
      </w:r>
      <w:r>
        <w:rPr>
          <w:rFonts w:ascii="Calibri" w:hAnsi="Calibri"/>
          <w:b w:val="0"/>
          <w:color w:val="3A4A28"/>
          <w:sz w:val="17"/>
        </w:rPr>
        <w:t>Eversource Dividend History — 27 Consecutive Years Growth, $3.15/share (5% 2026 increase), 4.26% Yield, Sure Dividend / StockAnalysis,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Gurufocus — ES $74.44, PE 15.81, D/E 182%, ROE 10.97%, Forward PE 15.92,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