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FANG</w:t>
      </w:r>
      <w:r>
        <w:rPr>
          <w:rFonts w:ascii="Calibri" w:hAnsi="Calibri"/>
          <w:b/>
          <w:color w:val="1A2010"/>
          <w:sz w:val="40"/>
        </w:rPr>
        <w:t xml:space="preserve">  Diamondback Energy, Inc.</w:t>
      </w:r>
    </w:p>
    <w:p>
      <w:pPr>
        <w:spacing w:after="120"/>
      </w:pPr>
      <w:r>
        <w:rPr>
          <w:rFonts w:ascii="Calibri" w:hAnsi="Calibri"/>
          <w:b/>
          <w:color w:val="6E8450"/>
          <w:sz w:val="18"/>
        </w:rPr>
        <w:t>DIVIDEND SLEEVE · 2026-07-12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NASDAQ · United States</w:t>
      </w:r>
    </w:p>
    <w:p>
      <w:pPr>
        <w:spacing w:after="80"/>
      </w:pPr>
      <w:r>
        <w:rPr>
          <w:rFonts w:ascii="Calibri" w:hAnsi="Calibri"/>
          <w:b w:val="0"/>
          <w:color w:val="3A4A28"/>
          <w:sz w:val="20"/>
        </w:rPr>
        <w:t>Diamondback Energy is the largest independent oil and gas producer in the Permian Basin following the 2024 $26B Endeavor Energy Resources merger. The company operates with an industry-low cost structure, produces 979K+ BOE/d (521K MBO/d oil), and returns capital via a rising base dividend and opportunistic buybacks. CEO Travis Stice transitioned to Executive Chairman in 2025 with Kaes Van't Hof succeeding as CEO.</w:t>
      </w:r>
    </w:p>
    <w:p>
      <w:r>
        <w:rPr>
          <w:rFonts w:ascii="Calibri" w:hAnsi="Calibri"/>
          <w:b/>
          <w:color w:val="6E8450"/>
          <w:sz w:val="18"/>
        </w:rPr>
        <w:t>1,100 Employees · https://www.diamondbackenergy.com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$26B Endeavor Energy Resources acquisition (closed late 2024) transformed Diamondback from mid-cap pure-play into the largest independent Permian producer, driving Q1 2026 oil production to 521 MBO/d (979 MBOE/d total) with $2.7B adjusted EBITDA and $1.7B free cash flow [1]. AI Deployment (2/2): Diamondback is pursuing a JV to build gas-fueled power plants in the Permian Basin explicitly to serve AI data centers, and is partnered with Oklo on fast-fission nuclear reactors for data center power — quantified AI monetization of Permian natural gas production [3]. Market Share (2/2): Largest independent Permian producer with 3,618 MMBOE proved reserves, industry-lowest breakeven cost structure, and real-time continuous emissions monitoring on 87%+ of operated oil production post-merger [1][4]. Product Pipeline (0/2): Commodity E&amp;P with no differentiated product pipeline. Q1 2026 production of 521 MBO/d prompted upward guidance revision to 520+ MBO/d (from 500-510), representing ~5% organic growth, but this is operational execution not product innovation [1]. R&amp;D Intensity (0/1): E&amp;P sector does not meaningfully compete on R&amp;D; Diamondback is not differentiated here despite strong operational technology deployment.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Travis Stice's 12-year leadership articulated a specific identity — 'pure-play Permian operator of choice' with industry-lowest cost structure and disciplined capital returns. His leadership philosophy emphasizes 'character and authenticity' and building leaders who others 'willingly follow' [2]. However, this is a strategic positioning rather than a transcendent purpose — it describes competitive advantage, not a vision of a better future. Community Impact (1/2): 2025 Corporate Sustainability Report outlines Permian Basin community investment, 50% Scope 1+2 GHG intensity reduction target by 2030, and commitment to point-forward Scope 1 carbon neutrality [4]. Standard E&amp;P sustainability commitments without distinctive dollar-denominated community programs. Employee Retention (1/2): Glassdoor 3.7/5 with 82% recommend-to-friend and 4.5/5 compensation rating, though some reviews cite 'culture tanked after the EER merger' as the doubled workforce integrates [2]. Stice's 12-year tenure and planned CEO succession to internal President Kaes Van't Hof demonstrates leadership continuity. Insider Buying (0/2): Stice transitioned from CEO to Executive Chairman — typical leadership handoff not accompanied by reported net open-market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$4.24B revenue (+4.7% YoY), adjusted EPS of $4.23 (beating $3.55 consensus), $2.7B adjusted EBITDA, and $1.7B free cash flow [1]. Forward P/E of 8.29 is exceptional — well below the 20 target — reflecting commodity discount and strong earnings power. D/E of 33% is conservative for the sector despite $14.5B in post-merger debt. Base dividend raised 10% to $4.40 annually ($1.10/quarter), with 8 consecutive years of payments and explosive 25%+ 5-year dividend CAGR [1][4]. ROE is depressed at 4.43% due to Endeavor equity dilution (the $26B all-stock merger massively expanded the equity base while earnings are still normalizing). Profit margin of approximately 22% on an adjusted basis reflects strong E&amp;P economics, though GAAP margin is distorted by merger-related write-downs. Revenue growth YoY of 4.7% is modest but production guidance was raised, implying volume-driven growth ahead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Diamondback is a superbly executed commodity business under Travis Stice's 12-year leadership, but fundamentally plays a finite game. The company exists to extract maximum value from Permian Basin assets and return capital to shareholders — there is no articulated vision of a better future beyond being the lowest-cost producer. The $26B Endeavor bet and AI power pivot show strategic ambition, but the competitive language centers on winning scale and cost leadership rather than advancing a cause that transcends quarterly returns.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Diamondback's stated purpose — becoming the 'pure-play Permian operator of choice' with industry-lowest cost structure — is specific and has been consistently executed since 2012 under Stice [2]. However, it is fundamentally a commodity optimization strategy, not a Sinek-caliber Just Cause. It describes competitive positioning rather than a vision of a future state that invites others to contribute. The company exists to produce oil efficiently and return capital, which is an honest but finite objective.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3.7/5 with 82% recommend-to-friend and 4.5/5 compensation indicates a generally positive work environment [2]. Stice publicly emphasizes 'unreasonable level of trust' as a scaling foundation, and his leadership philosophy of 'character and authenticity' suggests cultural intentionality. However, reviews citing 'culture tanked after the EER merger' indicate the Circle of Safety is under stress as the doubled workforce integrates under new CEO Van't Hof — adequate trust but with merger-related strain.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Management frames the Permian competitive landscape in terms of cost leadership, scale dominance, and rollup market share gains rather than citing specific rivals whose strengths sharpen Diamondback's own strategy [1][2]. Commentary around the $26B Endeavor acquisition emphasized 'winning' the Permian consolidation game and becoming the largest independent producer — finite-game language of accumulation rather than infinite-game language of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2024 Endeavor merger transformed Diamondback from a mid-cap pure-play into the largest independent Permian producer — a meaningful reinvention of scale and market position [1]. The subsequent pivot toward AI-power JVs and Oklo nuclear partnerships shows the team can envision monetizing gas and power in adjacent verticals beyond traditional oil production [3]. However, the core business model remains unchanged — drill and complete Permian wells. The adaptations are incremental adjacencies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$26B Endeavor acquisition was a significant scale bet at a potentially cyclical peak, requiring conviction that Permian asset value would endure [1]. Stice's planned CEO transition to Van't Hof demonstrates succession planning discipline. The 10% base dividend increase alongside $548M in Q1 buybacks shows commitment to shareholder returns even as integration continues. However, these are profitable strategic decisions rather than costly sacrifices — the Endeavor deal was accretive and buybacks are funded by excess FCF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Diamondback delivered a strong Q1 2026 with adjusted EPS of $4.23 (beating $3.55 consensus by 19%), oil production of 521 MBO/d exceeding guidance, and $1.7B free cash flow supporting $859M in shareholder returns ($548M buybacks + raised base dividend) [1]. The company raised full-year oil production guidance to 520+ MBO/d from 500-510, signaling post-Endeavor synergy realization and organic growth above initial expectations. At 8.3x forward earnings with D/E of only 33%, FANG is compellingly valued for the largest independent Permian operator generating $2.7B quarterly EBITDA. The AI-power thesis — JV gas plants and Oklo nuclear for data center electricity — provides additional upside optionality beyond core E&amp;P operations [3]. Base dividend of $4.40 (2.56% yield, up 10% YoY) with 25%+ 5-year dividend growth CAGR rewards patient holders.</w:t>
      </w:r>
    </w:p>
    <w:p>
      <w:pPr>
        <w:spacing w:after="120"/>
      </w:pPr>
      <w:r>
        <w:rPr>
          <w:rFonts w:ascii="Calibri" w:hAnsi="Calibri"/>
          <w:b w:val="0"/>
          <w:color w:val="3A4A28"/>
          <w:sz w:val="20"/>
        </w:rPr>
        <w:t>The bear case centers on commodity cyclicality and finite-game positioning. Despite strong Q1 execution, earnings remain a near-pure function of WTI and Henry Hub prices — production growth of ~5% YoY provides limited insulation against a sustained oil price decline below $60/bbl [1]. GAAP ROE of 4.43% reflects how the $26B Endeavor equity dilution has compressed per-share economics, and trailing PE of 33x on impairment-burdened GAAP earnings obscures the underlying value. Post-merger culture integration risk persists — Glassdoor reviews cite degradation since the Endeavor close, and the CEO transition from Stice to Van't Hof adds execution complexity [2]. Carbon Tracker flags 90-100% of Diamondback's 2021-2030 capex as outside the IEA 'Beyond 2 Degrees' scenario, creating long-term stranded-asset risk as AI-accelerated energy transition unfolds over the coming decade [4]. Infinite Game score of 4 (FINITE) reflects a company optimized for extraction and returns rather than enduring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 JV and Oklo nuclear partnership converting Permian natural gas into quantified revenue from West Texas data center electricity demand — a new monetization vertical beyond commodity E&amp;P [3]</w:t>
      </w:r>
    </w:p>
    <w:p>
      <w:pPr>
        <w:spacing w:before="40" w:after="40"/>
        <w:ind w:left="283"/>
      </w:pPr>
      <w:r>
        <w:rPr>
          <w:rFonts w:ascii="Calibri" w:hAnsi="Calibri"/>
          <w:b/>
          <w:color w:val="4A6B25"/>
          <w:sz w:val="20"/>
        </w:rPr>
        <w:t xml:space="preserve">2. </w:t>
      </w:r>
      <w:r>
        <w:rPr>
          <w:rFonts w:ascii="Calibri" w:hAnsi="Calibri"/>
          <w:b w:val="0"/>
          <w:color w:val="3A4A28"/>
          <w:sz w:val="20"/>
        </w:rPr>
        <w:t>Continued Endeavor synergy realization driving per-share FCF growth, potential for additional variable dividends and buyback acceleration on top of the 10% base dividend raise to $4.40 [1]</w:t>
      </w:r>
    </w:p>
    <w:p>
      <w:pPr>
        <w:spacing w:before="40" w:after="40"/>
        <w:ind w:left="283"/>
      </w:pPr>
      <w:r>
        <w:rPr>
          <w:rFonts w:ascii="Calibri" w:hAnsi="Calibri"/>
          <w:b/>
          <w:color w:val="4A6B25"/>
          <w:sz w:val="20"/>
        </w:rPr>
        <w:t xml:space="preserve">3. </w:t>
      </w:r>
      <w:r>
        <w:rPr>
          <w:rFonts w:ascii="Calibri" w:hAnsi="Calibri"/>
          <w:b w:val="0"/>
          <w:color w:val="3A4A28"/>
          <w:sz w:val="20"/>
        </w:rPr>
        <w:t>Production guidance raised to 520+ MBO/d with ~5% organic growth, demonstrating post-merger operational excellence and inventory quality in the premier North American shale basin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WTI and natural gas price cyclicality — with earnings as a near-pure function of commodity prices, a sustained oil decline below $60/bbl would compress FCF and threaten the capital return thesis regardless of operational execution [1]</w:t>
      </w:r>
    </w:p>
    <w:p>
      <w:pPr>
        <w:spacing w:before="40" w:after="40"/>
        <w:ind w:left="283"/>
      </w:pPr>
      <w:r>
        <w:rPr>
          <w:rFonts w:ascii="Calibri" w:hAnsi="Calibri"/>
          <w:b/>
          <w:color w:val="4A6B25"/>
          <w:sz w:val="20"/>
        </w:rPr>
        <w:t xml:space="preserve">2. </w:t>
      </w:r>
      <w:r>
        <w:rPr>
          <w:rFonts w:ascii="Calibri" w:hAnsi="Calibri"/>
          <w:b w:val="0"/>
          <w:color w:val="3A4A28"/>
          <w:sz w:val="20"/>
        </w:rPr>
        <w:t>Post-merger culture and integration risk — Glassdoor reviews cite culture degradation post-Endeavor, and the Stice-to-Van't Hof CEO transition adds organizational complexity on a doubled workforce during year-two integration [2]</w:t>
      </w:r>
    </w:p>
    <w:p>
      <w:pPr>
        <w:spacing w:before="40" w:after="40"/>
        <w:ind w:left="283"/>
      </w:pPr>
      <w:r>
        <w:rPr>
          <w:rFonts w:ascii="Calibri" w:hAnsi="Calibri"/>
          <w:b/>
          <w:color w:val="4A6B25"/>
          <w:sz w:val="20"/>
        </w:rPr>
        <w:t xml:space="preserve">3. </w:t>
      </w:r>
      <w:r>
        <w:rPr>
          <w:rFonts w:ascii="Calibri" w:hAnsi="Calibri"/>
          <w:b w:val="0"/>
          <w:color w:val="3A4A28"/>
          <w:sz w:val="20"/>
        </w:rPr>
        <w:t>Long-term stranded-asset risk — Carbon Tracker flags 90-100% of 2021-2030 capex outside the IEA 2-degree scenario, and the company's carbon neutrality commitment covers only Scope 1 emissions while Scope 3 (combustion of produced oil/gas) remains unaddressed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E&amp;P is physical-world infrastructure that AI structurally cannot displace — drilling wells, operating pipelines, and managing Permian acreage requires tangible physical-world operations entirely beyond AI's capabilities [1]. Moreover, AI is a direct demand driver for Diamondback's natural gas production: data centers require massive electricity generation, much of which comes from natural gas in Texas. Analysts universally treat FANG as an AI-power beneficiary rather than a disruption target. The only structural risk is long-term AI-accelerated energy transition (EV adoption, grid optimization) reducing oil demand, but this is decade-horizon and offset by near-term data center gas demand. AI Opportunity (1/1): Diamondback is pursuing a JV to build gas-fueled power plants in the Permian that directly serve AI data centers, and has partnered with Oklo on fast-fission nuclear reactors for data center power [3]. Hart Energy and Utility Dive explicitly name Diamondback as a lead vehicle for the AI-power thesis in West Texas — quantifiable incremental revenue from Permian natgas monetization for AI workloads.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Diamondback Energy Q1 2026 Earnings Release — 521 MBO/d production, $4.23 adjusted EPS, $2.7B EBITDA, $1.7B FCF, guidance raised to 520+ MBO/d, May 2026</w:t>
      </w:r>
    </w:p>
    <w:p>
      <w:pPr>
        <w:spacing w:before="20" w:after="20"/>
        <w:ind w:left="170"/>
      </w:pPr>
      <w:r>
        <w:rPr>
          <w:rFonts w:ascii="Calibri" w:hAnsi="Calibri"/>
          <w:b/>
          <w:color w:val="4A6B25"/>
          <w:sz w:val="15"/>
        </w:rPr>
        <w:t xml:space="preserve">2. </w:t>
      </w:r>
      <w:r>
        <w:rPr>
          <w:rFonts w:ascii="Calibri" w:hAnsi="Calibri"/>
          <w:b w:val="0"/>
          <w:color w:val="3A4A28"/>
          <w:sz w:val="17"/>
        </w:rPr>
        <w:t>Travis Stice Leadership (character/authenticity philosophy), CEO transition to Kaes Van't Hof, Glassdoor reviews (3.7/5, post-merger culture concerns) — Energy Workforce Council, GlobeNewsWire, 2025-2026</w:t>
      </w:r>
    </w:p>
    <w:p>
      <w:pPr>
        <w:spacing w:before="20" w:after="20"/>
        <w:ind w:left="170"/>
      </w:pPr>
      <w:r>
        <w:rPr>
          <w:rFonts w:ascii="Calibri" w:hAnsi="Calibri"/>
          <w:b/>
          <w:color w:val="4A6B25"/>
          <w:sz w:val="15"/>
        </w:rPr>
        <w:t xml:space="preserve">3. </w:t>
      </w:r>
      <w:r>
        <w:rPr>
          <w:rFonts w:ascii="Calibri" w:hAnsi="Calibri"/>
          <w:b w:val="0"/>
          <w:color w:val="3A4A28"/>
          <w:sz w:val="17"/>
        </w:rPr>
        <w:t>Diamondback AI-Power JV and Oklo Nuclear Partnership for Permian data center electricity — Hart Energy, Utility Dive, 2025-2026</w:t>
      </w:r>
    </w:p>
    <w:p>
      <w:pPr>
        <w:spacing w:before="20" w:after="20"/>
        <w:ind w:left="170"/>
      </w:pPr>
      <w:r>
        <w:rPr>
          <w:rFonts w:ascii="Calibri" w:hAnsi="Calibri"/>
          <w:b/>
          <w:color w:val="4A6B25"/>
          <w:sz w:val="15"/>
        </w:rPr>
        <w:t xml:space="preserve">4. </w:t>
      </w:r>
      <w:r>
        <w:rPr>
          <w:rFonts w:ascii="Calibri" w:hAnsi="Calibri"/>
          <w:b w:val="0"/>
          <w:color w:val="3A4A28"/>
          <w:sz w:val="17"/>
        </w:rPr>
        <w:t>Diamondback Sustainability Report (Scope 1 carbon neutrality, 87% emissions monitoring coverage), Carbon Tracker analysis, StockAnalysis.com key statistics —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