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FATE</w:t>
      </w:r>
      <w:r>
        <w:rPr>
          <w:rFonts w:ascii="Calibri" w:hAnsi="Calibri"/>
          <w:b/>
          <w:color w:val="1A2010"/>
          <w:sz w:val="40"/>
        </w:rPr>
        <w:t xml:space="preserve">  Fate Therapeutics, Inc.</w:t>
      </w:r>
    </w:p>
    <w:p>
      <w:pPr>
        <w:spacing w:after="120"/>
      </w:pPr>
      <w:r>
        <w:rPr>
          <w:rFonts w:ascii="Calibri" w:hAnsi="Calibri"/>
          <w:b/>
          <w:color w:val="6E8450"/>
          <w:sz w:val="18"/>
        </w:rPr>
        <w:t>GROWTH SLEEVE · 2026-07-25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Fate Therapeutics is a clinical-stage biopharmaceutical company developing programmed cellular immunotherapies for cancer and autoimmune disorders using its proprietary induced pluripotent stem cell (iPSC) platform. Key programs include FT819 (off-the-shelf CAR T-cell therapy advancing toward registrational trial in lupus nephritis), FT839 (multi-antigen dual-CAR T-cell with cleared IND for autoimmune basket trial), and FT836 (solid tumors). Headquartered in San Diego, California.</w:t>
      </w:r>
    </w:p>
    <w:p>
      <w:r>
        <w:rPr>
          <w:rFonts w:ascii="Calibri" w:hAnsi="Calibri"/>
          <w:b/>
          <w:color w:val="6E8450"/>
          <w:sz w:val="18"/>
        </w:rPr>
        <w:t>161 Employees · https://www.fatetherapeutics.com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Fate has advanced its iPSC platform from research to clinical trials over 15+ years, with FT819 moving toward a potentially registrational Phase 2 trial and FT839 receiving IND clearance from FDA — meaningful clinical milestones, but no approved products or commercialized therapies yet [1]. Revenue declined from $96.3M (2022) to $1.3M (Q1 2026 annualized ~$5.2M) as collaboration milestones wound down. AI Deployment (0/2): No evidence of AI-powered drug discovery or AI-driven cost savings; the company relies on proprietary iPSC biology rather than computational approaches [2]. Market Share (2/2): Fate holds a leadership position in iPSC-derived cell therapy with over 500 issued patents, proprietary Sword and Shield technology for chemotherapy-free dosing, and first-mover advantage in off-the-shelf iPSC-derived CAR T-cell products [1][2]. Pipeline (1/2): FT819 Phase 2 potentially registrational trial in refractory SLE with lupus nephritis anticipated to commence dosing H2 2026; FT839 IND cleared by FDA for Phase 1 autoimmune basket trial; FT836 progressing in solid tumors [1]. Specific timelines exist but no revenue visibility. R&amp;D Intensity (1/1): Operating expenses of $34.3M in Q1 2026 are almost entirely R&amp;D for a 161-person company, placing it among the most R&amp;D-intensive biotechs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Fate's mission to 'realize the promise of cellular immunotherapy by creating next-generation cell-based treatments that are more effective, safer, and more broadly accessible' is specific, thoughtful, and explicitly targets accessibility — differentiating from peers by committing to off-the-shelf products that could democratize cell therapy [2]. Community Impact (0/2): No evidence of significant charitable programs or community investment beyond clinical trial access; the company has an early/expanded access policy but no quantified philanthropic activity [3]. Employee Retention (0/2): Glassdoor rating declined to 3.0/5 based on 122 reviews, with employees citing 'toxic culture,' 'poor management, bad leadership, poor work life balance,' and '0 work/life balance — not constantly working 10 hour+ days is looked down upon' [2]. CEO Valamehr's 15-year tenure provides continuity but does not offset the cultural concerns. Insider Buying (0/2): Net insider selling pattern persists. Officer Cindy Tahl acquired 44,444 shares at $1.05 in May 2026, but overall insiders are net sellers with limited open-market purchasing in the past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Fate's financial profile reflects a clinical-stage biotech with severely challenged fundamentals. Q1 2026 revenue was $1.3M (down from $1.6M Q1 2025), derived from preclinical development activities for an Ono Pharmaceutical collaboration candidate [1]. Operating expenses declined 20% to $34.3M as the company tightens spending, with net loss narrowing to $31.2M [1]. Cash, cash equivalents, and investments of $174.8M provide runway into 2028 at current burn rates [1]. D/E of 34% is manageable but ROE of -52.4% and deeply negative profit margin reflect the cash-burning reality. The stock price doubled from $1.37 to $2.80 on pipeline catalysts (FT839 IND clearance, FT819 registrational path), boosting market cap to $326M [4]. Liquidity floor cleared: 3.4M avg vol x $2.80 = $9.5M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Fate Therapeutics demonstrates some infinite game characteristics — a 15+ year commitment to iPSC technology and a mission explicitly targeting therapy accessibility. However, the 3.0/5 Glassdoor rating with 'toxic culture' reviews, insider net selling, and the perpetual survival mode of burning $31M per quarter with $175M in cash undermine the organizational trust and long-term orientation that Sinek considers essential for infinite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Fate's Just Cause — making cell therapy accessible through off-the-shelf iPSC-derived products that eliminate patient-specific manufacturing — is genuine, service-oriented, and resilient. The company has pursued this cause for 15+ years through multiple technology iterations, investing heavily in iPSC biology before the market demanded it [2]. The expansion from oncology to autoimmune diseases (SLE, systemic sclerosis) keeps the cause evolving. But the cause has not yet been validated by commercial success. Score: 2/3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3.0/5 based on 122 reviews reveals significant organizational dysfunction. Employees describe 'toxic culture,' 'senior scientists and directors that get offended by asking questions,' and '0 work/life balance' [2]. While CEO Valamehr's 15-year tenure provides continuity, the cultural problems described in reviews — including poor management, lack of psychological safety, and unsustainable work expectations — directly undermine Sinek's Circle of Safety. Score: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Fate positions itself as a differentiated leader in iPSC cell therapy and does not extensively discuss competitors or acknowledge rivals' strengths. The company's competitive language centers on proprietary platform advantages rather than learning from autologous CAR-T leaders (BMS, Gilead) or other allogeneic approaches (Allogene, CRISPR Therapeutics) [1][2].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Fate pivoted its clinical focus from oncology-only to include autoimmune diseases (SLE, systemic sclerosis, IIM), recognizing the emerging multi-billion-dollar opportunity in off-the-shelf cell therapy for autoimmunity [1]. The 20% reduction in operating expenses and prioritized pipeline show willingness to restructure for survival while maintaining the core iPSC platform.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Fate has shown courage in continuing to invest in iPSC cell therapy through a devastating 97%+ stock decline (from $100+ to $2.80), maintaining R&amp;D programs and advancing FT819 and FT839 when the market had largely abandoned the story [1]. The decision to expand into autoimmune indications while cutting costs by 20% shows strategic discipline. However, some cost-cutting reflects financial necessity rather than purely principled choice.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Fate Therapeutics is at a clinical inflection point with its iPSC platform advancing toward potential registrational status. FT819 is preparing for a Phase 2 potentially registrational trial in refractory SLE with lupus nephritis (dosing H2 2026), FT839 received IND clearance for a Phase 1 autoimmune basket trial, and the stock has doubled to $2.80 on these catalysts [1]. The 500+ patent portfolio, proprietary Sword and Shield chemotherapy-free dosing technology, and first-mover position in off-the-shelf iPSC CAR T-cells create a meaningful scientific moat. Cash of $174.8M provides runway into 2028, operating expenses fell 20% YoY to $34.3M per quarter, and the $326M market cap offers asymmetric upside if clinical data supports approval in the multi-billion-dollar autoimmune cell therapy market [1].</w:t>
      </w:r>
    </w:p>
    <w:p>
      <w:pPr>
        <w:spacing w:after="120"/>
      </w:pPr>
      <w:r>
        <w:rPr>
          <w:rFonts w:ascii="Calibri" w:hAnsi="Calibri"/>
          <w:b w:val="0"/>
          <w:color w:val="3A4A28"/>
          <w:sz w:val="20"/>
        </w:rPr>
        <w:t>The bear case is severe. Fate is burning $31M per quarter on $1.3M in revenue, with no approved products and a stock still down 97%+ from its 2021 highs above $100 [1][4]. The $174.8M cash runway to 2028 means dilutive financing will be needed before any product reaches market, and the $326M market cap provides limited equity cushion. Clinical risk is acute — FT819's registrational trial in SLE could fail, and the 20-patient autoimmune dataset from earlier dosing is too small for definitive conclusions [1]. Glassdoor reviews describing 'toxic culture' with a 3.0/5 rating based on 122 reviews suggest organizational dysfunction that could impair execution during the critical clinical development phase [2]. Competition from autologous CAR-T (BMS Breyanzi, Gilead Yescarta) and other allogeneic platforms (Allogene, CRISPR) is intensifying in the autoimmune space. ROE of -52.4% and zero profit margin with no path to profitability before 2030+ make this a speculative option on clinical success.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FT819 Phase 2 potentially registrational trial in refractory SLE with lupus nephritis commencing patient dosing in H2 2026 under RMAT designation, with potential to accelerate approval path [1]</w:t>
      </w:r>
    </w:p>
    <w:p>
      <w:pPr>
        <w:spacing w:before="40" w:after="40"/>
        <w:ind w:left="283"/>
      </w:pPr>
      <w:r>
        <w:rPr>
          <w:rFonts w:ascii="Calibri" w:hAnsi="Calibri"/>
          <w:b/>
          <w:color w:val="4A6B25"/>
          <w:sz w:val="20"/>
        </w:rPr>
        <w:t xml:space="preserve">2. </w:t>
      </w:r>
      <w:r>
        <w:rPr>
          <w:rFonts w:ascii="Calibri" w:hAnsi="Calibri"/>
          <w:b w:val="0"/>
          <w:color w:val="3A4A28"/>
          <w:sz w:val="20"/>
        </w:rPr>
        <w:t>FT839 IND cleared by FDA for Phase 1 autoimmune basket trial, adding a multi-antigen dual-CAR T-cell approach to the autoimmune pipeline and broadening the platform's clinical validation [1]</w:t>
      </w:r>
    </w:p>
    <w:p>
      <w:pPr>
        <w:spacing w:before="40" w:after="40"/>
        <w:ind w:left="283"/>
      </w:pPr>
      <w:r>
        <w:rPr>
          <w:rFonts w:ascii="Calibri" w:hAnsi="Calibri"/>
          <w:b/>
          <w:color w:val="4A6B25"/>
          <w:sz w:val="20"/>
        </w:rPr>
        <w:t xml:space="preserve">3. </w:t>
      </w:r>
      <w:r>
        <w:rPr>
          <w:rFonts w:ascii="Calibri" w:hAnsi="Calibri"/>
          <w:b w:val="0"/>
          <w:color w:val="3A4A28"/>
          <w:sz w:val="20"/>
        </w:rPr>
        <w:t>Autoimmune cell therapy market emerging as multi-billion-dollar opportunity with Fate's off-the-shelf iPSC approach offering manufacturing scalability and cost advantages over patient-specific autologous CAR-T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to 2028 with $31M quarterly burn rate makes dilutive financing inevitable before any product commercialization, potentially devastating the $326M market cap [1]</w:t>
      </w:r>
    </w:p>
    <w:p>
      <w:pPr>
        <w:spacing w:before="40" w:after="40"/>
        <w:ind w:left="283"/>
      </w:pPr>
      <w:r>
        <w:rPr>
          <w:rFonts w:ascii="Calibri" w:hAnsi="Calibri"/>
          <w:b/>
          <w:color w:val="4A6B25"/>
          <w:sz w:val="20"/>
        </w:rPr>
        <w:t xml:space="preserve">2. </w:t>
      </w:r>
      <w:r>
        <w:rPr>
          <w:rFonts w:ascii="Calibri" w:hAnsi="Calibri"/>
          <w:b w:val="0"/>
          <w:color w:val="3A4A28"/>
          <w:sz w:val="20"/>
        </w:rPr>
        <w:t>Clinical-stage binary risk — FT819 registrational trial failure in SLE would be catastrophic given the concentrated pipeline and small prior autoimmune dataset of ~20 patients [1]</w:t>
      </w:r>
    </w:p>
    <w:p>
      <w:pPr>
        <w:spacing w:before="40" w:after="40"/>
        <w:ind w:left="283"/>
      </w:pPr>
      <w:r>
        <w:rPr>
          <w:rFonts w:ascii="Calibri" w:hAnsi="Calibri"/>
          <w:b/>
          <w:color w:val="4A6B25"/>
          <w:sz w:val="20"/>
        </w:rPr>
        <w:t xml:space="preserve">3. </w:t>
      </w:r>
      <w:r>
        <w:rPr>
          <w:rFonts w:ascii="Calibri" w:hAnsi="Calibri"/>
          <w:b w:val="0"/>
          <w:color w:val="3A4A28"/>
          <w:sz w:val="20"/>
        </w:rPr>
        <w:t>Glassdoor rating of 3.0/5 with 'toxic culture' reviews and 122 negative employee assessments create execution risk during the critical phase of registrational trial design and enrollment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Fate's core business — developing iPSC-derived cell therapies through wet lab biology, clinical trials, and FDA regulatory pathways — is structurally protected from AI disruption [1]. Cell therapy manufacturing, clinical development, and the regulatory approval process involve physical biological processes that AI cannot substitute. The iPSC platform, 500+ patents, Sword and Shield technology, and proprietary manufacturing processes create deep scientific moats that AI-driven competitors would still need to replicate physically. AI may assist in target identification and clinical trial optimization but cannot replace the fundamental biological R&amp;D. AI Opportunity (0/1): No evidence of AI-generated revenue or AI-powered products. The company has not publicly adopted AI in its R&amp;D pipeline or reported AI-driven efficiencies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Fate Therapeutics Q1 2026 Financial Results — $1.3M revenue, $31.2M net loss, $174.8M cash (runway to 2028), FT819 and FT839 clinical updates, May 13,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(3.0/5, 122 reviews) — toxic culture concerns, CEO Valamehr 15-year tenure, Fate leadership and management team, 2025-2026</w:t>
      </w:r>
    </w:p>
    <w:p>
      <w:pPr>
        <w:spacing w:before="20" w:after="20"/>
        <w:ind w:left="170"/>
      </w:pPr>
      <w:r>
        <w:rPr>
          <w:rFonts w:ascii="Calibri" w:hAnsi="Calibri"/>
          <w:b/>
          <w:color w:val="4A6B25"/>
          <w:sz w:val="15"/>
        </w:rPr>
        <w:t xml:space="preserve">3. </w:t>
      </w:r>
      <w:r>
        <w:rPr>
          <w:rFonts w:ascii="Calibri" w:hAnsi="Calibri"/>
          <w:b w:val="0"/>
          <w:color w:val="3A4A28"/>
          <w:sz w:val="17"/>
        </w:rPr>
        <w:t>Fate Therapeutics Corporate Responsibility — early/expanded access policy, fatetherapeutics.com, Sustainalytics 'None' controversy level</w:t>
      </w:r>
    </w:p>
    <w:p>
      <w:pPr>
        <w:spacing w:before="20" w:after="20"/>
        <w:ind w:left="170"/>
      </w:pPr>
      <w:r>
        <w:rPr>
          <w:rFonts w:ascii="Calibri" w:hAnsi="Calibri"/>
          <w:b/>
          <w:color w:val="4A6B25"/>
          <w:sz w:val="15"/>
        </w:rPr>
        <w:t xml:space="preserve">4. </w:t>
      </w:r>
      <w:r>
        <w:rPr>
          <w:rFonts w:ascii="Calibri" w:hAnsi="Calibri"/>
          <w:b w:val="0"/>
          <w:color w:val="3A4A28"/>
          <w:sz w:val="17"/>
        </w:rPr>
        <w:t>Market data for FATE — stock price $2.80, volume, financial ratios, insider trading activity (Tahl purchase May 2026), accessed July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