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FBGL</w:t>
      </w:r>
      <w:r>
        <w:rPr>
          <w:rFonts w:ascii="Calibri" w:hAnsi="Calibri"/>
          <w:b/>
          <w:color w:val="1A2010"/>
          <w:sz w:val="40"/>
        </w:rPr>
        <w:t xml:space="preserve">  FibroBiologics, Inc.</w:t>
      </w:r>
    </w:p>
    <w:p>
      <w:pPr>
        <w:spacing w:after="120"/>
      </w:pPr>
      <w:r>
        <w:rPr>
          <w:rFonts w:ascii="Calibri" w:hAnsi="Calibri"/>
          <w:b/>
          <w:color w:val="6E8450"/>
          <w:sz w:val="18"/>
        </w:rPr>
        <w:t>GROWTH SLEEVE · 2026-07-15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FibroBiologics is a clinical-stage biotechnology company developing fibroblast cell-based therapies and fibroblast-derived materials for chronic diseases. The pipeline includes CYWC628 (wound healing, Phase 1/2 in Australia), with preclinical programs in psoriasis, multiple sclerosis, burn treatment, and disc degeneration. The company holds 270+ US and international patents. Following a 1-for-20 reverse stock split in April 2026 to maintain Nasdaq compliance, the stock trades near penny-stock levels. Founded by CEO Pete O'Heeron, headquartered in Houston, Texas.</w:t>
      </w:r>
    </w:p>
    <w:p>
      <w:r>
        <w:rPr>
          <w:rFonts w:ascii="Calibri" w:hAnsi="Calibri"/>
          <w:b/>
          <w:color w:val="6E8450"/>
          <w:sz w:val="18"/>
        </w:rPr>
        <w:t>15 Employees · https://www.fibrobiologics.com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FibroBiologics has not launched any commercial products, completed any pivotal trials, or executed any business model transformations. The company completed cGMP manufacturing of the first batch of CYWC628 drug product in Q1 2026 and began clinical site onboarding, but remains pre-Phase 2 across all indications [1]. AI Deployment (0/2): No AI-powered products or AI-driven operational improvements. The company uses conventional cell biology and drug development methods [2]. Market Share (0/2): Zero commercial presence. The fibroblast cell therapy space is so nascent that there is no established market to lead. The company claims a pioneering position via its 270+ patent portfolio, but patents without clinical validation do not constitute market share [1][2]. Product Pipeline (1/2): CYWC628 Phase 1/2 trial approved by HREC for 120 patients across up to 10 Australian sites, with first patient dosing targeted Q2 2026 [1]. Preclinical data in burn and disc degeneration programs is encouraging. But all programs are early-stage with no Phase 2/3 efficacy data. R&amp;D Intensity (1/1): 100% of operating expenses ($7.4M in FY2025) directed toward R&amp;D, appropriate for a clinical-stage micro-cap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Pete O'Heeron describes a vision of 'pushing the boundaries of science to create fibroblast-based therapies that may change lives' [2]. This is clear about the scientific approach and patient impact, but the qualifier 'may change lives' reveals appropriate uncertainty rather than validated conviction. The mission is not yet proven through execution. Community &amp; Charitable Impact (0/2): No evidence of charitable programs, foundation, or community investment. The company's 15-person team and micro-cap status limit community reach. Employee Retention &amp; Tenure (0/2): At 15 employees, there is insufficient data to evaluate organizational culture or retention. Recent hires include CFO Jason Davis and General Counsel Ruben Garcia, but no public employee sentiment data exists. Insider Buying (0/2): No specific net insider buying data identified in the last 12 months. O'Heeron as founder presumably holds significant equity, but the constant need for dilutive financing (March 2026 public offering at $1.32/share) complicates the insider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(258,086) x stock_price ($0.87) = $224,535, which is below the $1,000,000 minimum threshold [5]. Infrastructure score is automatically set to 0 regardless of other metrics. For context: FibroBiologics has zero revenue, a $4.5M market cap, $1.5M cash (before a $2.5M raise) against approximately $18.6M annual operating burn, deeply negative ROE, and imminent dilution risk [1][2]. The company executed a 1-for-20 reverse stock split in April 2026 to regain Nasdaq compliance with the $1.00 minimum bid price requirement. Cash runway is critically short -- $1.5M cash funds approximately 1 month of operations at the current burn rate. Series C preferred shares carry 32,500,000 votes (32.8% of total voting power) under an irrevocable proxy held by the Board, creating a governance concentration concern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FibroBiologics operates under intense finite survival pressure. With $1.5M in cash, 15 employees, and constant need for dilutive financing, strategic decision-making is necessarily dominated by near-term survival rather than long-term vision. The founder's commitment to fibroblast therapy is genuine but untested by adversity. Super-voting preferred shares concentrating 32.8% of voting power with the Board, combined with Nasdaq compliance concerns and penny-stock pricing, create governance structures more consistent with financial survival than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O'Heeron's vision of creating fibroblast-based therapies that 'may change lives' represents a genuine scientific aspiration, but the company was founded only in 2021 and the cause remains entirely unproven by execution [2]. No clinical efficacy data has validated the therapeutic approach. The 270+ patent portfolio demonstrates intellectual commitment but patents alone do not constitute a proven Just Cause. The cause has not survived any leadership transitions, market downturns, or scientific setbacks.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 15 employees with critically short cash runway, building trusting teams is structurally difficult. The constant need for dilutive financing, Nasdaq compliance pressures, and the super-voting preferred structure (32.8% of voting power held by Board through irrevocable proxy) create governance dynamics that prioritize control over trust [3]. No public employee sentiment data exists to evaluate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FibroBiologics positions itself as the 'world leader in fibroblast cell therapy' without acknowledging competitors or using competitive dynamics for self-improvement [2]. While the niche is genuinely novel, the absence of competitive framing around established cell therapy leaders (Vertex, bluebird bio, BMS) suggests a claim-staking rather than improvement-seeking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FibroBiologics was founded in 2021 and has not faced any test of strategic flexibility. The company is pursuing its original thesis without having encountered the kind of adversity that reveals whether leadership can adapt. The multi-indication approach (wound healing, psoriasis, MS, disc degeneration) shows breadth of ambition but not evidence of flexibility under pressure.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Pursuing a novel therapeutic modality (fibroblast cell therapy) is inherently entrepreneurial, but no evidence of courageous leadership decisions that sacrificed near-term results for long-term capability. The constant dilutive financing, reverse stock split, and governance concentration via super-voting shares suggest survival-mode decisions rather than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FibroBiologics occupies a unique position as the only public company focused exclusively on fibroblast cell therapy, with 270+ patents creating potential first-mover advantage in a novel therapeutic modality [1][2]. The CYWC628 Phase 1/2 trial for diabetic foot ulcers has begun site onboarding across up to 10 Australian sites (120 patients), with first dosing targeted Q2 2026 [1]. Preclinical data in burn treatment and disc degeneration generated positive results in Q1 2026. The fibroblast platform targets large addressable markets -- diabetic foot ulcers ($5B+), psoriasis ($20B+), multiple sclerosis ($28B+) -- with a differentiated cell therapy approach if clinical data validates the mechanism.</w:t>
      </w:r>
    </w:p>
    <w:p>
      <w:pPr>
        <w:spacing w:after="120"/>
      </w:pPr>
      <w:r>
        <w:rPr>
          <w:rFonts w:ascii="Calibri" w:hAnsi="Calibri"/>
          <w:b w:val="0"/>
          <w:color w:val="3A4A28"/>
          <w:sz w:val="20"/>
        </w:rPr>
        <w:t>The bear case is severe and existential. FibroBiologics has a $4.5M market cap, zero revenue, 15 employees, and approximately $1.5M in cash (pre-$2.5M raise) against $18.6M annual cash burn -- implying roughly 1 month of runway without additional financing [1][2]. The stock trades at $0.87 after a 1-for-20 reverse stock split to maintain Nasdaq compliance, with daily dollar volume of just $225K failing the IOWN $1M liquidity floor [5]. Series C preferred shares concentrate 32.8% of voting power with the Board through an irrevocable proxy, a governance red flag [3]. The fibroblast cell therapy platform is scientifically unproven with no Phase 2/3 efficacy data across any indication. Severe dilution is near-certain and imminent. The 15-person team is critically understaffed for advancing multiple clinical programs. This is a speculative micro-cap with existential financing risk and no path to near-term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CYWC628 Phase 1/2 first patient dosing in Q2 2026 providing initial clinical data for the fibroblast wound healing platform in diabetic foot ulcers</w:t>
      </w:r>
    </w:p>
    <w:p>
      <w:pPr>
        <w:spacing w:before="40" w:after="40"/>
        <w:ind w:left="283"/>
      </w:pPr>
      <w:r>
        <w:rPr>
          <w:rFonts w:ascii="Calibri" w:hAnsi="Calibri"/>
          <w:b/>
          <w:color w:val="4A6B25"/>
          <w:sz w:val="20"/>
        </w:rPr>
        <w:t xml:space="preserve">2. </w:t>
      </w:r>
      <w:r>
        <w:rPr>
          <w:rFonts w:ascii="Calibri" w:hAnsi="Calibri"/>
          <w:b w:val="0"/>
          <w:color w:val="3A4A28"/>
          <w:sz w:val="20"/>
        </w:rPr>
        <w:t>Positive preclinical results in burn and disc degeneration programs potentially validating broader platform applicability</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licensing deal leveraging the 270+ patent portfolio to provide non-dilutive funding and scientific validation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crisis -- approximately $1.5M cash vs. $18.6M annual burn implies roughly 1 month of runway; imminent dilutive financing will severely compress equity value</w:t>
      </w:r>
    </w:p>
    <w:p>
      <w:pPr>
        <w:spacing w:before="40" w:after="40"/>
        <w:ind w:left="283"/>
      </w:pPr>
      <w:r>
        <w:rPr>
          <w:rFonts w:ascii="Calibri" w:hAnsi="Calibri"/>
          <w:b/>
          <w:color w:val="4A6B25"/>
          <w:sz w:val="20"/>
        </w:rPr>
        <w:t xml:space="preserve">2. </w:t>
      </w:r>
      <w:r>
        <w:rPr>
          <w:rFonts w:ascii="Calibri" w:hAnsi="Calibri"/>
          <w:b w:val="0"/>
          <w:color w:val="3A4A28"/>
          <w:sz w:val="20"/>
        </w:rPr>
        <w:t>Liquidity failure -- $225K average daily trading value makes the stock untradeable for institutional investors and fails the IOWN $1M liquidity floor</w:t>
      </w:r>
    </w:p>
    <w:p>
      <w:pPr>
        <w:spacing w:before="40" w:after="40"/>
        <w:ind w:left="283"/>
      </w:pPr>
      <w:r>
        <w:rPr>
          <w:rFonts w:ascii="Calibri" w:hAnsi="Calibri"/>
          <w:b/>
          <w:color w:val="4A6B25"/>
          <w:sz w:val="20"/>
        </w:rPr>
        <w:t xml:space="preserve">3. </w:t>
      </w:r>
      <w:r>
        <w:rPr>
          <w:rFonts w:ascii="Calibri" w:hAnsi="Calibri"/>
          <w:b w:val="0"/>
          <w:color w:val="3A4A28"/>
          <w:sz w:val="20"/>
        </w:rPr>
        <w:t>Platform validation risk -- fibroblast cell therapy remains unproven beyond preclinical/early Phase 1 with no efficacy data; the entire investment thesis rests on an unvalidated scientific mechanism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Cell therapy and regenerative medicine using fibroblast cells is entirely immune to AI disruption. The core business involves physical biological processes -- cell isolation, culture, manufacturing, and clinical administration -- that AI structurally cannot substitute. FDA clinical trials, drug manufacturing under cGMP standards, and patient treatment require hands-on biological expertise. The 270+ patent portfolio protecting fibroblast-based therapeutic methods creates an additional layer of protection. AI could theoretically enhance drug discovery or patient identification, but the fundamental nature of cell therapy as a physical biological product places it at the highest level of AI immunity [1][2]. AI Opportunity (0/1): No AI-generated revenue. Pre-revenue company with no disclosed AI products or AI-enhanced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NOT RATED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FibroBiologics Q1 2026 Financial Results -- Net Loss $5.0M, Cash $1.5M, CYWC628 Trial Progress, May 2026</w:t>
      </w:r>
    </w:p>
    <w:p>
      <w:pPr>
        <w:spacing w:before="20" w:after="20"/>
        <w:ind w:left="170"/>
      </w:pPr>
      <w:r>
        <w:rPr>
          <w:rFonts w:ascii="Calibri" w:hAnsi="Calibri"/>
          <w:b/>
          <w:color w:val="4A6B25"/>
          <w:sz w:val="15"/>
        </w:rPr>
        <w:t xml:space="preserve">2. </w:t>
      </w:r>
      <w:r>
        <w:rPr>
          <w:rFonts w:ascii="Calibri" w:hAnsi="Calibri"/>
          <w:b w:val="0"/>
          <w:color w:val="3A4A28"/>
          <w:sz w:val="17"/>
        </w:rPr>
        <w:t>FibroBiologics FY2025 Annual Report and CEO Shareholder Letter -- R&amp;D $7.4M, Net Loss $18.6M, 270+ Patents, Pipeline Strategy, January-March 2026</w:t>
      </w:r>
    </w:p>
    <w:p>
      <w:pPr>
        <w:spacing w:before="20" w:after="20"/>
        <w:ind w:left="170"/>
      </w:pPr>
      <w:r>
        <w:rPr>
          <w:rFonts w:ascii="Calibri" w:hAnsi="Calibri"/>
          <w:b/>
          <w:color w:val="4A6B25"/>
          <w:sz w:val="15"/>
        </w:rPr>
        <w:t xml:space="preserve">3. </w:t>
      </w:r>
      <w:r>
        <w:rPr>
          <w:rFonts w:ascii="Calibri" w:hAnsi="Calibri"/>
          <w:b w:val="0"/>
          <w:color w:val="3A4A28"/>
          <w:sz w:val="17"/>
        </w:rPr>
        <w:t>FibroBiologics SEC Filings -- Reverse Stock Split, Nasdaq Compliance, Series C Preferred Voting Structure, Super-Voting Proxy, 2026</w:t>
      </w:r>
    </w:p>
    <w:p>
      <w:pPr>
        <w:spacing w:before="20" w:after="20"/>
        <w:ind w:left="170"/>
      </w:pPr>
      <w:r>
        <w:rPr>
          <w:rFonts w:ascii="Calibri" w:hAnsi="Calibri"/>
          <w:b/>
          <w:color w:val="4A6B25"/>
          <w:sz w:val="15"/>
        </w:rPr>
        <w:t xml:space="preserve">4. </w:t>
      </w:r>
      <w:r>
        <w:rPr>
          <w:rFonts w:ascii="Calibri" w:hAnsi="Calibri"/>
          <w:b w:val="0"/>
          <w:color w:val="3A4A28"/>
          <w:sz w:val="17"/>
        </w:rPr>
        <w:t>FibroBiologics $3M Public Offering at $1.32/share and Private Placement Activity,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FBLG Stock Price $0.87, Market Cap $4.5M, Average Volume 258K,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