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FER</w:t>
      </w:r>
      <w:r>
        <w:rPr>
          <w:rFonts w:ascii="Calibri" w:hAnsi="Calibri"/>
          <w:b/>
          <w:color w:val="1A2010"/>
          <w:sz w:val="40"/>
        </w:rPr>
        <w:t xml:space="preserve">  Ferrovial N.V.</w:t>
      </w:r>
    </w:p>
    <w:p>
      <w:pPr>
        <w:spacing w:after="120"/>
      </w:pPr>
      <w:r>
        <w:rPr>
          <w:rFonts w:ascii="Calibri" w:hAnsi="Calibri"/>
          <w:b/>
          <w:color w:val="6E8450"/>
          <w:sz w:val="18"/>
        </w:rPr>
        <w:t>GROWTH SLEEVE · 2026-08-02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Netherlands</w:t>
      </w:r>
    </w:p>
    <w:p>
      <w:pPr>
        <w:spacing w:after="80"/>
      </w:pPr>
      <w:r>
        <w:rPr>
          <w:rFonts w:ascii="Calibri" w:hAnsi="Calibri"/>
          <w:b w:val="0"/>
          <w:color w:val="3A4A28"/>
          <w:sz w:val="20"/>
        </w:rPr>
        <w:t>Ferrovial N.V. is a global infrastructure operator and developer with operations across toll roads, airports, construction, and energy infrastructure. Founded in 1952 and headquartered in Amsterdam, the company operates through four segments — Construction, Highways, Airports, and Energy — serving markets in the United States, Spain, the United Kingdom, Poland, Canada, and internationally. Listed on NASDAQ in 2024 to access U.S. capital markets closer to its largest growth market.</w:t>
      </w:r>
    </w:p>
    <w:p>
      <w:r>
        <w:rPr>
          <w:rFonts w:ascii="Calibri" w:hAnsi="Calibri"/>
          <w:b/>
          <w:color w:val="6E8450"/>
          <w:sz w:val="18"/>
        </w:rPr>
        <w:t>22,319 Employees · https://www.ferrovial.com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Ferrovial executed a meaningful strategic transformation — relocating headquarters from Spain to the Netherlands and listing on NASDAQ in 2024 to position closer to its largest growth market, the U.S. [1]. The company expanded into energy infrastructure (transmission and renewable generation), adding a fourth business segment. However, as an infrastructure operator, value creation comes through long-duration concession assets rather than product launches. AI Deployment (1/2): Ferrovial's Digital Hub has integrated AI, drones, and 3D printing into operations over five years, and the company appointed a CEO of Digital Infrastructure to lead AI cloud and data center initiatives [2]. No specific quantified revenue or cost savings from AI have been disclosed. Market Share (1/2): Ferrovial is a leading global infrastructure developer, particularly strong in managed toll lanes in Texas and the U.S. Northeast, with the Highways division generating €740M H1 2026 revenue up 15.8% like-for-like [1]. Product Pipeline (1/2): Record construction order book of €18B provides exceptional visibility, with North America accounting for 47% of backlog and significant opportunities in complex greenfield P3 projects [1]. R&amp;D Intensity (1/1): Ferrovial's Digital Hub and 'Build UP!' innovation program — sourcing solutions from startups via challenge prizes — demonstrate above-average innovation investment for engineering and construction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Ferrovial's purpose centers on developing sustainable infrastructure that improves people's lives and mobility. Clear and connected to societal benefit but fairly standard for a large infrastructure company — interchangeable with several peers [4]. Community Impact (1/2): Ferrovial has been on the Dow Jones Sustainability Index for 23 consecutive years (scoring 81/100 in 2024), on the CDP Climate Change A List for 15 consecutive years, and on the CDP Water A List for the second consecutive year [3]. These represent genuine and long-standing ESG commitments, though they reflect corporate sustainability programs rather than distinctive charitable giving. Employee Retention (1/2): Stable leadership under CEO Ignacio Madridejos (since 2019) and the Digital Hub's collaborative 'no hierarchy' model suggest organizational stability [2]. However, Glassdoor reviews (76% recommend, 3.6/5 compensation) cite a centralized Spanish 'command and control' culture for experienced hires, indicating cultural tension between old and new models [5]. Insider Buying (1/2): Ferrovial guided for approximately €1B in 2026 total shareholder returns (€400M buyback + ~€600M scrip dividend), signaling management confidence in the business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Ferrovial reported H1 2026 revenue of €4.7B (up 11.3% like-for-like) and adjusted EBITDA of €746M (up 21.6%), demonstrating strong operational momentum [1]. Net profit of €258M was down from €540M in H1 2025 due to non-recurring capital gains in the prior period. D/E of 135.1% is elevated but expected for infrastructure companies with project-financed concession assets [7]. ROE of 14.5% is just below the 15% target. Forward P/E of 56.6x is extremely expensive, reflecting the premium valuation for long-duration infrastructure concessions but scoring poorly on the mechanical calculation. The 5-year revenue CAGR of 3.6% is below the 10% target. Net profit margin of ~5.5% is thin but typical of construction-heavy businesses. PEG ratio of ~5.6 well exceeds the 3.0 floor, scoring zero. Liquidity floor cleared on NASDAQ: 85K avg volume x $72.46 = $6.2M daily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Ferrovial demonstrates strong infinite game characteristics as a 74-year-old infrastructure company that has successfully evolved from a Spanish construction firm into a global infrastructure operator listed on NASDAQ. The long-duration concession model — toll roads and airports with 30-50 year agreements — inherently requires playing for the long term. CEO Madridejos' bold decision to relocate headquarters and list in the U.S. shows strategic courage, while 23 consecutive years on the DJSI reflects enduring commitment to stakeholder value.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Ferrovial's cause — building and operating infrastructure that improves people's mobility and quality of life — has been validated by 74 years of consistent execution since 1952, growing from a family-founded Spanish construction company to a global infrastructure leader [1][3]. The 23-year DJSI membership and 15-year CDP Climate A List demonstrate the cause extends beyond profit. However, infrastructure development is a business model rather than a transformative 'future state that does not yet exist'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Digital Hub operates on a collaborative 'no hierarchy' model designed to empower employees, and the 'Build UP!' program encourages ideas from all 22,000+ employees [2]. CEO Madridejos has led since 2019 with stable executive continuity. However, Glassdoor reviews (76% recommend) cite a centralized Spanish 'command and control' culture, with micromanagement of experienced hires — suggesting trust is unevenly distributed between the innovation hub and traditional operations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Ferrovial competes against Vinci, ACS, and Brookfield without framing competition as zero-sum. The 'Build UP!' program actively sources solutions from external startups, acknowledging others' strengths [2]. The NASDAQ listing alongside global peers reflects confidence in competing on merit. Competitive language focuses on building best-in-class infrastructure rather than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Ferrovial has fundamentally reinvented itself multiple times in 74 years — from pure construction to infrastructure concessions, from Spanish focus to global operations, from highways to airports to energy [1]. The sale of the services division and Heathrow stake to concentrate on North American concessions was a significant strategic pivot. The headquarters relocation and NASDAQ listing represented corporate reinvention in service of long-term positioning. These pivots were driven by strategic vision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Madridejos made a bold and costly decision to relocate Ferrovial's domicile from Spain to the Netherlands and list on NASDAQ in 2024, facing significant political backlash in Spain but positioning the company closer to its largest growth market [1]. The expansion into energy infrastructure as a fourth segment represents forward-looking investment. However, these are strategic repositioning moves rather than the kind of painful sacrifice in service of a cause that Sinek values most.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Ferrovial is a premier global infrastructure operator with a 74-year track record, reporting H1 2026 revenue of €4.7B (up 11.3% like-for-like) and adjusted EBITDA of €746M (up 21.6%), with the Highways division growing 15.8% like-for-like [1]. The record construction order book of €18B (up 2.8% like-for-like) with 47% in North America provides exceptional multi-year revenue visibility [1]. The long-duration concession model — 30-50 year toll road and airport agreements — delivers inflation-protected recurring revenue. Management guided for ~€1B in 2026 total shareholder returns (€400M buyback + ~€600M scrip dividend), demonstrating capital return commitment. The NASDAQ listing and U.S. market focus position Ferrovial to capture the massive U.S. infrastructure spending cycle [1].</w:t>
      </w:r>
    </w:p>
    <w:p>
      <w:pPr>
        <w:spacing w:after="120"/>
      </w:pPr>
      <w:r>
        <w:rPr>
          <w:rFonts w:ascii="Calibri" w:hAnsi="Calibri"/>
          <w:b w:val="0"/>
          <w:color w:val="3A4A28"/>
          <w:sz w:val="20"/>
        </w:rPr>
        <w:t>The bear case centers on extreme valuation and thin margins. At 56.6x forward P/E and 5.6x PEG ratio, Ferrovial trades at a steep premium to both infrastructure peers and the broader market, requiring sustained growth for years to justify current multiples [7]. H1 2026 net profit of €258M was down sharply from €540M due to non-recurring capital gains in the prior year, demonstrating earnings volatility [1]. Net profit margin of ~5.5% is thin relative to the premium valuation, and D/E of 135% reflects significant leverage in concession project finance. The construction segment, while driving near-term growth, carries execution risk on large-scale projects. NASDAQ daily trading volume of only ~85K shares creates liquidity risk for institutional investors. Currency risk is material given euro-denominated reporting and dollar-denominated operations. The relocation-related political friction in Spain could affect future European concession awards.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infrastructure spending cycle — Ferrovial is positioned to capture managed toll lane and highway concession awards in its core Texas and Northeast markets, supported by the record €18B construction order book with 47% in North America [1]</w:t>
      </w:r>
    </w:p>
    <w:p>
      <w:pPr>
        <w:spacing w:before="40" w:after="40"/>
        <w:ind w:left="283"/>
      </w:pPr>
      <w:r>
        <w:rPr>
          <w:rFonts w:ascii="Calibri" w:hAnsi="Calibri"/>
          <w:b/>
          <w:color w:val="4A6B25"/>
          <w:sz w:val="20"/>
        </w:rPr>
        <w:t xml:space="preserve">2. </w:t>
      </w:r>
      <w:r>
        <w:rPr>
          <w:rFonts w:ascii="Calibri" w:hAnsi="Calibri"/>
          <w:b w:val="0"/>
          <w:color w:val="3A4A28"/>
          <w:sz w:val="20"/>
        </w:rPr>
        <w:t>Energy segment expansion providing growth optionality from the energy transition, with a new CEO of Digital Infrastructure targeting AI cloud and data center opportunities [2]</w:t>
      </w:r>
    </w:p>
    <w:p>
      <w:pPr>
        <w:spacing w:before="40" w:after="40"/>
        <w:ind w:left="283"/>
      </w:pPr>
      <w:r>
        <w:rPr>
          <w:rFonts w:ascii="Calibri" w:hAnsi="Calibri"/>
          <w:b/>
          <w:color w:val="4A6B25"/>
          <w:sz w:val="20"/>
        </w:rPr>
        <w:t xml:space="preserve">3. </w:t>
      </w:r>
      <w:r>
        <w:rPr>
          <w:rFonts w:ascii="Calibri" w:hAnsi="Calibri"/>
          <w:b w:val="0"/>
          <w:color w:val="3A4A28"/>
          <w:sz w:val="20"/>
        </w:rPr>
        <w:t>Approximately €1B in guided 2026 shareholder returns through buyback and scrip dividend, reflecting management confidence in free cash flow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 at 56.6x forward P/E and 5.6x PEG ratio, the stock is priced for sustained high-single-digit growth with zero margin of safety against execution disappointment [7]</w:t>
      </w:r>
    </w:p>
    <w:p>
      <w:pPr>
        <w:spacing w:before="40" w:after="40"/>
        <w:ind w:left="283"/>
      </w:pPr>
      <w:r>
        <w:rPr>
          <w:rFonts w:ascii="Calibri" w:hAnsi="Calibri"/>
          <w:b/>
          <w:color w:val="4A6B25"/>
          <w:sz w:val="20"/>
        </w:rPr>
        <w:t xml:space="preserve">2. </w:t>
      </w:r>
      <w:r>
        <w:rPr>
          <w:rFonts w:ascii="Calibri" w:hAnsi="Calibri"/>
          <w:b w:val="0"/>
          <w:color w:val="3A4A28"/>
          <w:sz w:val="20"/>
        </w:rPr>
        <w:t>Earnings volatility and thin margins — H1 2026 net profit dropped 52% YoY and net margin of ~5.5% leaves minimal buffer against construction cost overruns, traffic volume shortfalls, or currency headwinds [1]</w:t>
      </w:r>
    </w:p>
    <w:p>
      <w:pPr>
        <w:spacing w:before="40" w:after="40"/>
        <w:ind w:left="283"/>
      </w:pPr>
      <w:r>
        <w:rPr>
          <w:rFonts w:ascii="Calibri" w:hAnsi="Calibri"/>
          <w:b/>
          <w:color w:val="4A6B25"/>
          <w:sz w:val="20"/>
        </w:rPr>
        <w:t xml:space="preserve">3. </w:t>
      </w:r>
      <w:r>
        <w:rPr>
          <w:rFonts w:ascii="Calibri" w:hAnsi="Calibri"/>
          <w:b w:val="0"/>
          <w:color w:val="3A4A28"/>
          <w:sz w:val="20"/>
        </w:rPr>
        <w:t>Low NASDAQ trading volume (~85K shares/day) creates liquidity risk, and political backlash from Spain's headquarters relocation could affect European concession pipeline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Ferrovial's core business — operating toll roads, building highways, managing airports, and developing energy infrastructure — is fundamentally physical-world infrastructure that AI cannot substitute [1]. Toll road concessions generate revenue from vehicle traffic on physical roads with 30-50 year agreements; airports require physical terminals and runways; construction involves heavy equipment and on-site labor. These are deeply regulated, capital-intensive physical assets with massive barriers to entry. AI may improve operational efficiency (traffic management, predictive maintenance, construction planning) but cannot replace the infrastructure itself. AI Opportunity (1/1): Ferrovial generates AI-adjacent value through its Digital Hub, which has deployed AI in construction operations, traffic management, and infrastructure monitoring, and the company has appointed a CEO of Digital Infrastructure targeting data center and AI cloud opportunities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Ferrovial H1 2026 Earnings Release — EUR 4.7B revenue (up 11.3% LFL), EUR 746M adjusted EBITDA (up 21.6%), record EUR 18B order book, July 2026</w:t>
      </w:r>
    </w:p>
    <w:p>
      <w:pPr>
        <w:spacing w:before="20" w:after="20"/>
        <w:ind w:left="170"/>
      </w:pPr>
      <w:r>
        <w:rPr>
          <w:rFonts w:ascii="Calibri" w:hAnsi="Calibri"/>
          <w:b/>
          <w:color w:val="4A6B25"/>
          <w:sz w:val="15"/>
        </w:rPr>
        <w:t xml:space="preserve">2. </w:t>
      </w:r>
      <w:r>
        <w:rPr>
          <w:rFonts w:ascii="Calibri" w:hAnsi="Calibri"/>
          <w:b w:val="0"/>
          <w:color w:val="3A4A28"/>
          <w:sz w:val="17"/>
        </w:rPr>
        <w:t>Ferrovial Digital Hub, AI strategy, and innovation — Build UP! program, CEO of Digital Infrastructure appointed, AI/drone deployment in construction; Ferrovial.com, CIO.com, 2024-2026</w:t>
      </w:r>
    </w:p>
    <w:p>
      <w:pPr>
        <w:spacing w:before="20" w:after="20"/>
        <w:ind w:left="170"/>
      </w:pPr>
      <w:r>
        <w:rPr>
          <w:rFonts w:ascii="Calibri" w:hAnsi="Calibri"/>
          <w:b/>
          <w:color w:val="4A6B25"/>
          <w:sz w:val="15"/>
        </w:rPr>
        <w:t xml:space="preserve">3. </w:t>
      </w:r>
      <w:r>
        <w:rPr>
          <w:rFonts w:ascii="Calibri" w:hAnsi="Calibri"/>
          <w:b w:val="0"/>
          <w:color w:val="3A4A28"/>
          <w:sz w:val="17"/>
        </w:rPr>
        <w:t>Ferrovial ESG — 23 consecutive years on DJSI (81/100), 15 years on CDP Climate A List, CDP Water A List; Ferrovial.com, Sustainalytics, 2024-2026</w:t>
      </w:r>
    </w:p>
    <w:p>
      <w:pPr>
        <w:spacing w:before="20" w:after="20"/>
        <w:ind w:left="170"/>
      </w:pPr>
      <w:r>
        <w:rPr>
          <w:rFonts w:ascii="Calibri" w:hAnsi="Calibri"/>
          <w:b/>
          <w:color w:val="4A6B25"/>
          <w:sz w:val="15"/>
        </w:rPr>
        <w:t xml:space="preserve">4. </w:t>
      </w:r>
      <w:r>
        <w:rPr>
          <w:rFonts w:ascii="Calibri" w:hAnsi="Calibri"/>
          <w:b w:val="0"/>
          <w:color w:val="3A4A28"/>
          <w:sz w:val="17"/>
        </w:rPr>
        <w:t>Ferrovial corporate purpose and culture — infrastructure development mission, sustainability strategy; Ferrovial.com,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Ferrovial Reviews (76% recommend, command and control culture concerns),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Ferrovial FY2025 Results — EUR 9.6B revenue (up 8.6% LFL), EUR 1.5B adjusted EBITDA; February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StockAnalysis — FER Key Statistics ($72.46 price, Forward PE 56.58, D/E 135.1%),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