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FHN</w:t>
      </w:r>
      <w:r>
        <w:rPr>
          <w:rFonts w:ascii="Calibri" w:hAnsi="Calibri"/>
          <w:b/>
          <w:color w:val="1A2010"/>
          <w:sz w:val="40"/>
        </w:rPr>
        <w:t xml:space="preserve">  First Horizon Corporation</w:t>
      </w:r>
    </w:p>
    <w:p>
      <w:pPr>
        <w:spacing w:after="120"/>
      </w:pPr>
      <w:r>
        <w:rPr>
          <w:rFonts w:ascii="Calibri" w:hAnsi="Calibri"/>
          <w:b/>
          <w:color w:val="6E8450"/>
          <w:sz w:val="18"/>
        </w:rPr>
        <w:t>DIVIDEND SLEEVE · 2026-08-24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Horizon Corporation is a Memphis, Tennessee-based regional bank holding company with approximately $83B in assets, operating under the First Horizon Bank brand across the Southeast and beyond. Q2 2026 revenue reached $887M (+7% YoY) with net income available to common shareholders of $260M (+12% YoY) and diluted EPS of $0.54 (+20% YoY), supported by a net interest margin of 3.49% and strong loan growth [1]. The company has been led by Chairman, President, and CEO D. Bryan Jordan since 2008, and in 2023 saw its proposed $13.4B acquisition by TD Bank collapse due to TD's own AML remediation issues, resulting in a $200M breakup fee and a return to an independent growth strategy [2].</w:t>
      </w:r>
    </w:p>
    <w:p>
      <w:r>
        <w:rPr>
          <w:rFonts w:ascii="Calibri" w:hAnsi="Calibri"/>
          <w:b/>
          <w:color w:val="6E8450"/>
          <w:sz w:val="18"/>
        </w:rPr>
        <w:t>7,200 Employees · https://www.firsthorizon.com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Horizon's most consequential recent event was the 2023 collapse of its $13.4B acquisition by TD Bank (due to TD's own regulatory remediation issues), after which the company recommitted to an independent growth strategy funded partly by the $200M breakup fee — a significant strategic reset, though it was reactive rather than a proactive product or business-model transformation [2]. AI Deployment (0/2): No company-specific evidence of AI-powered products or quantified AI-driven cost savings was found. Market Share (1/2): First Horizon is a stable, meaningful $83B-asset regional player with 'strong loan growth' cited in its Q2 2026 earnings call, but it is not a category-defining share leader nationally [1]. Product Pipeline (0/2): No specific next-generation products with named launch timelines were identified. R&amp;D Intensity (0/1): As a traditional regional bank, First Horizon does not report distinct R&amp;D spending, and no data indicates above-average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Horizon's 'Here for Good' community banking positioning, backed by more than 160 years of operating history and a Foundation established in 1993, is specific and reasonably thoughtful, connecting the company's identity to long-term community presence rather than generic banking language [3]. Community Impact (2/2): The First Horizon Foundation has donated more than $100M across its footprint since 1993, and the company runs a structured 'Here for Good' volunteer leadership program offering associates $500-$1,000 grants for nonprofits plus a 50-cents-on-the-dollar matching gifts program up to $2,000 — significant, distinctive, and quantified community investment [3]. Employee Retention (0/2): No specific turnover or tenure data is publicly available for the broader workforce. Insider Buying (0/2): No evidence of meaningful net insider buying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11.34x and profit margin of 30.19% both score a full 1.0 against their targets, revenue growth YoY of 7% scores 0.90 against the 10% target, and return on equity of 11.45% scores 0.76 against the 15% target [4]. On dividend metrics, payout ratio of 32.68% scores a full 1.0 against the 40% target, and 14 consecutive years of uninterrupted dividend payments (2x weighted) scores a full 1.0 against the 10-year target [5]. The company only resumed dividend growth in 2026 after holding the payout flat at $0.60/share from 2021-2025, raising it 13.3% to $0.68/share — scoring just 0.10 on consecutive years of growth (1 year vs. the 10-year target) and 0.42 on 5-year dividend growth CAGR (~2.5%, well below the 6% target, 2x weighted) [5]. Average daily volume of ~4.98M shares against $24.63 (~$122.7M) clears the liquidity floor with substantial room to spare.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Horizon's 160-year community banking legacy, quantified $100M+ Foundation giving, and Bryan Jordan's 18-year CEO tenure through the 2008 financial crisis and the 2023 TD Bank merger collapse all point to real organizational continuity and a genuine, if modestly articulated, community-oriented purpose. The forced strategic reset after TD's acquisition fell through — using the $200M breakup fee to reinvest in independent growth rather than treating it purely as a shareholder payout — shows resilience, though the underlying cause is closer to solid stewardship than a Sinek-caliber transformative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'Here for Good' positioning, backed by 160+ years of operating history and over $100M in cumulative Foundation giving since 1993, is a genuine and partially lived purpose that has shaped real capital allocation (community giving, volunteer grant matching) [3]. It has not been articulated with the idealistic, category-defining ambition of a top-tier Just Cause, and the 2023 TD Bank merger episode shows the company was willing to sell the franchise entirely, which complicates the picture of unwavering mission-driven independence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Bryan Jordan has led First Horizon continuously since 2008 — nearly two decades spanning the 2008-09 financial crisis, a major merger (Capital Bank/IBERIABANK), and the 2023 TD Bank deal collapse — a rare degree of executive continuity that reflects genuine organizational stability and board confidence [2]. This leadership tenure through multiple existential stress tests is strong evidence of institutional trust and resilience.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First Horizon publicly framing competing regional or national banks as worthy rivals that sharpen its own strategy; available commentary centers on internal execution metrics (loan growth, net interest margin)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When TD Bank's $13.4B acquisition of First Horizon collapsed in 2023 due to TD's own regulatory issues, the company had to rapidly pivot back to an independent growth strategy and rebuild investor confidence and capital plans — a real, forced strategic reset, though it was reactive to an external event rather than a self-directed transformative bet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Rather than using the $200M TD Bank breakup fee solely for near-term shareholder returns, First Horizon reinvested in capital strength and its independent growth strategy, choosing to rebuild long-term franchise value over a purely opportunistic short-term payout — a real, if circumstantially forced, long-term-oriented decision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Horizon is a well-capitalized $83B-asset regional bank delivering accelerating profitability — Q2 2026 revenue of $887M (+7% YoY), net income of $260M (+12% YoY), and diluted EPS growth of 20% YoY — backed by a stable 3.49% net interest margin and strong loan growth [1]. The stock trades at an undemanding 11.34x forward earnings with a PEG of 0.97, a 2.76% dividend yield, and a conservative 32.68% payout ratio, leaving ample room for continued dividend growth after the company resumed raising its payout in 2026 (+13.3% to $0.68/share) following a flat 2021-2025 stretch [1][4][5]. CEO Bryan Jordan's nearly two-decade tenure through the 2008 financial crisis and the 2023 TD Bank merger collapse provides unusual leadership continuity for a regional bank, and the $200M TD breakup fee strengthened the balance sheet for an independent growth strategy [2].</w:t>
      </w:r>
    </w:p>
    <w:p>
      <w:pPr>
        <w:spacing w:after="120"/>
      </w:pPr>
      <w:r>
        <w:rPr>
          <w:rFonts w:ascii="Calibri" w:hAnsi="Calibri"/>
          <w:b w:val="0"/>
          <w:color w:val="3A4A28"/>
          <w:sz w:val="20"/>
        </w:rPr>
        <w:t>The bear case centers on modest structural growth and integration/regulatory scar tissue. Return on equity of 11.45% remains below the 15% target for a top-tier bank, and 7% revenue growth, while solid, is not exceptional for the sector [4]. The company's dividend was held flat for five consecutive years (2021-2025) before the 2026 increase, producing a weak 5-year dividend growth CAGR of roughly 2.5% — below the 6% (2x inflation) target — suggesting capital allocation discipline has only recently shifted back toward shareholder returns after the TD Bank uncertainty [5]. The failed TD Bank acquisition (which would have delivered a large premium to shareholders) and past SEC Regulation Best Interest violations at its broker-dealer subsidiary ($325K fine) and individual employee misconduct cases (Fed-enforced prohibition orders for embezzlement) point to residual execution and compliance risk that could resurface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(3.49% in Q2 2026, up 9bps YoY) alongside strong loan growth could sustain the current double-digit EPS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Further dividend increases following the 2026 resumption of payout growth (+13.3% to $0.68/share) would improve the currently modest 5-year dividend growth CAGR and attract income-focused capital [5]</w:t>
      </w:r>
    </w:p>
    <w:p>
      <w:pPr>
        <w:spacing w:before="40" w:after="40"/>
        <w:ind w:left="283"/>
      </w:pPr>
      <w:r>
        <w:rPr>
          <w:rFonts w:ascii="Calibri" w:hAnsi="Calibri"/>
          <w:b/>
          <w:color w:val="4A6B25"/>
          <w:sz w:val="20"/>
        </w:rPr>
        <w:t xml:space="preserve">3. </w:t>
      </w:r>
      <w:r>
        <w:rPr>
          <w:rFonts w:ascii="Calibri" w:hAnsi="Calibri"/>
          <w:b w:val="0"/>
          <w:color w:val="3A4A28"/>
          <w:sz w:val="20"/>
        </w:rPr>
        <w:t>Capital deployment of the retained $200M TD Bank breakup fee into organic growth, buybacks, or bolt-on M&amp;A could accelerate the independent growth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on equity of 11.45% trails the 15% target, and a 7% revenue growth rate is solid but unremarkable, limiting the case for premium valuation multiples versus higher-growth regional bank peers [4]</w:t>
      </w:r>
    </w:p>
    <w:p>
      <w:pPr>
        <w:spacing w:before="40" w:after="40"/>
        <w:ind w:left="283"/>
      </w:pPr>
      <w:r>
        <w:rPr>
          <w:rFonts w:ascii="Calibri" w:hAnsi="Calibri"/>
          <w:b/>
          <w:color w:val="4A6B25"/>
          <w:sz w:val="20"/>
        </w:rPr>
        <w:t xml:space="preserve">2. </w:t>
      </w:r>
      <w:r>
        <w:rPr>
          <w:rFonts w:ascii="Calibri" w:hAnsi="Calibri"/>
          <w:b w:val="0"/>
          <w:color w:val="3A4A28"/>
          <w:sz w:val="20"/>
        </w:rPr>
        <w:t>A flat dividend from 2021-2025 followed by only one year of renewed growth leaves the 5-year dividend growth CAGR (~2.5%) well below the 6% inflation-adjusted target, a risk factor for dividend-growth-oriented investors [5]</w:t>
      </w:r>
    </w:p>
    <w:p>
      <w:pPr>
        <w:spacing w:before="40" w:after="40"/>
        <w:ind w:left="283"/>
      </w:pPr>
      <w:r>
        <w:rPr>
          <w:rFonts w:ascii="Calibri" w:hAnsi="Calibri"/>
          <w:b/>
          <w:color w:val="4A6B25"/>
          <w:sz w:val="20"/>
        </w:rPr>
        <w:t xml:space="preserve">3. </w:t>
      </w:r>
      <w:r>
        <w:rPr>
          <w:rFonts w:ascii="Calibri" w:hAnsi="Calibri"/>
          <w:b w:val="0"/>
          <w:color w:val="3A4A28"/>
          <w:sz w:val="20"/>
        </w:rPr>
        <w:t>Past regulatory findings — including a $325K SEC Regulation Best Interest fine at its broker-dealer subsidiary and Federal Reserve enforcement actions against former employees for embezzlement and data misappropriation — highlight ongoing compliance and operational risk in a heavily regulated industry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First Horizon's core deposit-taking and lending franchise is protected by banking licensure, regulatory capital requirements, and FDIC-insured deposit relationships that AI cannot disintermediate outright, and industry analysis frames AI's near-term banking impact as efficiency-focused (faster loan underwriting, document processing) rather than substitution of the deposit franchise itself [6]. No analyst commentary was found specifically flagging First Horizon for AI disruption risk. AI Opportunity (0/1): No company-specific evidence of quantifiable AI-related revenue contribution was found; any internal AI use for loan processing efficiency has not been disclosed with specific dollar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Horizon Q2 2026 Earnings Call and Release — Revenue $887M (+7% YoY), Net Income $260M (+12% YoY), NIM 3.49%, EPS $0.54 — Motley Fool, StockTitan,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First Horizon / TD Bank Merger Termination (2023), $200M Breakup Fee, CEO Bryan Jordan Tenure Since 2008 — Bernstein Litowitz Berger &amp; Grossmann LLP, firsthorizon.com,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First Horizon Foundation — $100M+ Cumulative Giving Since 1993, 'Here for Good' Volunteer and Matching Gift Programs — firsthorizonfoundation.com, doublethedonation.com,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FHN Key Statistics: Market Cap $11.67B, P/E 11.84, Forward P/E 11.34, ROE 11.45%, Profit Margin 30.19%, Avg Daily Volume 4.98M,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FHN Dividend History: $0.60/share flat 2021-2025, raised to $0.68/share (10-13.3% growth) beginning March 2026, Payout Ratio 32.68%,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SEC Press Release — First Horizon Advisors $325K Regulation Best Interest Fine (2024); Federal Reserve Enforcement Actions Against Former First Horizon Employees, sec.gov, federalreserve.gov,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