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FIBK</w:t>
      </w:r>
      <w:r>
        <w:rPr>
          <w:rFonts w:ascii="Calibri" w:hAnsi="Calibri"/>
          <w:b/>
          <w:color w:val="1A2010"/>
          <w:sz w:val="40"/>
        </w:rPr>
        <w:t xml:space="preserve">  First Interstate BancSystem, Inc.</w:t>
      </w:r>
    </w:p>
    <w:p>
      <w:pPr>
        <w:spacing w:after="120"/>
      </w:pPr>
      <w:r>
        <w:rPr>
          <w:rFonts w:ascii="Calibri" w:hAnsi="Calibri"/>
          <w:b/>
          <w:color w:val="6E8450"/>
          <w:sz w:val="18"/>
        </w:rPr>
        <w:t>DIVIDEND SLEEVE · 2026-08-06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First Interstate BancSystem, Inc. is the bank holding company for First Interstate Bank, a community bank offering commercial, consumer, and mortgage banking services across Idaho, Montana, Oregon, South Dakota, Washington, and Wyoming. Founded in 1968 and headquartered in Billings, Montana, the bank operates approximately 150 branches serving Mountain West communities with relationship-driven banking.</w:t>
      </w:r>
    </w:p>
    <w:p>
      <w:r>
        <w:rPr>
          <w:rFonts w:ascii="Calibri" w:hAnsi="Calibri"/>
          <w:b/>
          <w:color w:val="6E8450"/>
          <w:sz w:val="18"/>
        </w:rPr>
        <w:t>3,300 Employees · https://www.fibk.com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Interstate has made incremental digital banking improvements and expanded its mobile and online platforms, but no transformative product launches or business model pivots in the last 5 years — the community banking model remains fundamentally unchanged [1]. AI Deployment (0/2): No evidence of AI-powered products or quantified AI-driven cost savings; the bank is exploring digital banking initiatives but has not deployed measurable AI capabilities [3]. Market Share (1/2): Meaningful regional player as one of the largest community banks in the Mountain West, operating ~150 branches across six states, but not a category leader or fastest-growing in any market [2]. Product Pipeline (0/2): No next-generation products announced with specific timelines; strategic focus is on organic growth and credit quality improvement rather than product innovation [3]. R&amp;D Intensity (0/1): As a community bank, technology spending is not separately reported and likely trails larger banks and fintech competitors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Interstate's stated purpose — 'driven by its values to do right by all stakeholders — employees, clients, communities, and shareholders' — is clear but not distinctive, identifying what the company does and for whom without articulating a deeper or differentiated purpose [4]. Community Impact (1/2): For 55+ years, First Interstate has been embedded in Mountain West communities with general corporate philanthropy and community involvement documented in its Corporate Responsibility Report, though no specific dollar amounts or distinctive programs were identified [4]. Employee Retention (0/2): Recent leadership upheaval — COO Kristina Robbins terminated without cause in May 2026 and CEO Reuter assumed interim COO duties — signals organizational instability rather than a high-trust retention environment [3]. Insider Buying (0/2): A director sold approximately $4.3M in stock in early 2025, indicating net insider selling rather than insider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$265.3M revenue (up ~6% YoY) with net income of $83.9M ($0.87 diluted EPS), beating consensus estimates of $0.68 [1]. Net interest margin expanded for the ninth consecutive quarter to 3.48%, driving improved profitability [1]. D/E of 22.63% is exceptionally low against the 70% target, reflecting conservative balance sheet management with $1.21B cash against $772.7M debt [2]. ROE of 9.29% is the primary weakness, falling below the 15% target but improving with widening margins [5]. Profit margin of 29.3% exceeds the 20% target. Forward P/E of 13.21 reflects attractive valuation well below the 20 target. Dividend yield of 5.26% with estimated payout ratio of ~58% provides strong income generation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Interstate BancSystem operates as a steady community bank with 55+ years of history, but recent leadership instability — including the termination of the COO and CEO assuming interim dual roles — signals organizational turbulence that undermines infinite game credentials. The bank's stated values are generic and do not rise to the level of a Just Cause, and there is no evidence of transformative strategic flexibility or a learning-oriented competitive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First Interstate's purpose of 'doing right by all stakeholders' is a shallow cause — it exists but is interchangeable with any community bank peer [4]. The 55-year history of community banking shows some persistence, but leadership does not reference this purpose in strategic decisions, and the recent organizational restructuring appears driven by operational efficiency rather than a higher purpose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First Interstate has maintained stable operations for decades and employees generally describe a community-oriented culture, but the May 2026 termination of COO Kristina Robbins 'without cause' — followed by CEO Reuter assuming interim COO duties — represents disruptive leadership change that erodes organizational trust [3]. The consolidation of power under one executive, while potentially strategic, signals a transitional period rather than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First Interstate's competitive positioning focuses on its regional presence and community roots rather than learning from or acknowledging competitors' strengths [4]. The competitive language, to the extent it exists, is about defending market share rather than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First Interstate has evolved through geographic expansion across six states and adapted to digital banking trends, including mobile and online banking platforms [4]. These changes are incremental rather than transformative — the core community banking model remains fundamentally unchanged since the bank's founding in 1968, and no evidence exists of a purpose-driven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James Reuter, with 37 years in banking, has made some courageous decisions including the leadership restructuring to consolidate banking operations under a single Chief Banking Officer and the initiation of share buyback programs [1][3]. However, these moves appear operationally motivated rather than principle-driven, and the company's strategic focus on organic growth and credit quality improvement represents standard banking management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Interstate BancSystem delivered a strong Q2 2026 with $0.87 EPS beating consensus of $0.68 on $265.3M revenue, driven by nine consecutive quarters of net interest margin expansion to 3.48% and H1 2026 net income growth of 68% YoY to $144.1M [1]. The bank's conservative balance sheet (D/E 22.63%, $1.21B cash) supports a generous 5.26% dividend yield at an attractive 13.21x forward P/E, making it an appealing income vehicle for investors seeking Mountain West community bank exposure with improving profitability trends.</w:t>
      </w:r>
    </w:p>
    <w:p>
      <w:pPr>
        <w:spacing w:after="120"/>
      </w:pPr>
      <w:r>
        <w:rPr>
          <w:rFonts w:ascii="Calibri" w:hAnsi="Calibri"/>
          <w:b w:val="0"/>
          <w:color w:val="3A4A28"/>
          <w:sz w:val="20"/>
        </w:rPr>
        <w:t>The bear case centers on below-target ROE of 9.29% that constrains long-term value creation, modest revenue growth of ~6% YoY that trails inflation-adjusted benchmarks, and recent leadership instability with the COO termination and CEO assuming dual roles [3]. Innovation capability is minimal — the bank has no AI strategy, no differentiated technology platform, and competes in a sector facing secular pressure from fintech and digital-only banks. The -3.7% one-year total shareholder return (prior to the recent recovery) and -15.1% three-year return reflect structural challenges in the regional bank model that margin expansion alone may not overcome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beyond 3.48% as rate environment normalizes, potentially driving ROE improvement toward industry-average levels</w:t>
      </w:r>
    </w:p>
    <w:p>
      <w:pPr>
        <w:spacing w:before="40" w:after="40"/>
        <w:ind w:left="283"/>
      </w:pPr>
      <w:r>
        <w:rPr>
          <w:rFonts w:ascii="Calibri" w:hAnsi="Calibri"/>
          <w:b/>
          <w:color w:val="4A6B25"/>
          <w:sz w:val="20"/>
        </w:rPr>
        <w:t xml:space="preserve">2. </w:t>
      </w:r>
      <w:r>
        <w:rPr>
          <w:rFonts w:ascii="Calibri" w:hAnsi="Calibri"/>
          <w:b w:val="0"/>
          <w:color w:val="3A4A28"/>
          <w:sz w:val="20"/>
        </w:rPr>
        <w:t>Leadership stabilization under CEO Reuter's consolidated structure, with potential for a permanent COO hire to restore operational depth and investor confidence</w:t>
      </w:r>
    </w:p>
    <w:p>
      <w:pPr>
        <w:spacing w:before="40" w:after="40"/>
        <w:ind w:left="283"/>
      </w:pPr>
      <w:r>
        <w:rPr>
          <w:rFonts w:ascii="Calibri" w:hAnsi="Calibri"/>
          <w:b/>
          <w:color w:val="4A6B25"/>
          <w:sz w:val="20"/>
        </w:rPr>
        <w:t xml:space="preserve">3. </w:t>
      </w:r>
      <w:r>
        <w:rPr>
          <w:rFonts w:ascii="Calibri" w:hAnsi="Calibri"/>
          <w:b w:val="0"/>
          <w:color w:val="3A4A28"/>
          <w:sz w:val="20"/>
        </w:rPr>
        <w:t>Organic loan growth in Mountain West markets benefiting from urbanization trends in Idaho, Montana, and Wyoming — states with above-average population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9.29% remains well below the 15% cost-of-equity benchmark, risking sustained valuation discount if margin expansion stalls or credit costs normalize upward</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following COO termination creates key-person risk around CEO Reuter, who is now managing both strategic and operational functions simultaneously</w:t>
      </w:r>
    </w:p>
    <w:p>
      <w:pPr>
        <w:spacing w:before="40" w:after="40"/>
        <w:ind w:left="283"/>
      </w:pPr>
      <w:r>
        <w:rPr>
          <w:rFonts w:ascii="Calibri" w:hAnsi="Calibri"/>
          <w:b/>
          <w:color w:val="4A6B25"/>
          <w:sz w:val="20"/>
        </w:rPr>
        <w:t xml:space="preserve">3. </w:t>
      </w:r>
      <w:r>
        <w:rPr>
          <w:rFonts w:ascii="Calibri" w:hAnsi="Calibri"/>
          <w:b w:val="0"/>
          <w:color w:val="3A4A28"/>
          <w:sz w:val="20"/>
        </w:rPr>
        <w:t>Fintech and digital-only bank competition for deposits and consumer lending in an era of rising customer digital expectations, particularly among younger demographics in growing Mountain West cities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is a deeply regulated, relationship-driven, physical-world business that AI cannot structurally displace — First Interstate's 150+ branches across rural and small-city Mountain West markets serve customers who value personal relationships and local knowledge [1][4]. Regulatory requirements for KYC/AML compliance, FDIC insurance, and lending standards create significant barriers to AI substitution. However, fintech competitors and digital-only banks do present some competitive pressure on deposits and lending, particularly for younger demographics. AI Opportunity (0/1): No evidence of AI-generated revenue; First Interstate has not deployed AI-powered products or reported AI-driven cost savings [3]. The bank is in exploratory stages of digital transformation without quantifiable AI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Interstate BancSystem Q2 2026 Earnings Release — BusinessWire, July 23,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FIBK Statistics and Valuation Metrics,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SimplyWall St — First Interstate BancSystem Leadership and Management Analysis, May 2026</w:t>
      </w:r>
    </w:p>
    <w:p>
      <w:pPr>
        <w:spacing w:before="20" w:after="20"/>
        <w:ind w:left="170"/>
      </w:pPr>
      <w:r>
        <w:rPr>
          <w:rFonts w:ascii="Calibri" w:hAnsi="Calibri"/>
          <w:b/>
          <w:color w:val="4A6B25"/>
          <w:sz w:val="15"/>
        </w:rPr>
        <w:t xml:space="preserve">4. </w:t>
      </w:r>
      <w:r>
        <w:rPr>
          <w:rFonts w:ascii="Calibri" w:hAnsi="Calibri"/>
          <w:b w:val="0"/>
          <w:color w:val="3A4A28"/>
          <w:sz w:val="17"/>
        </w:rPr>
        <w:t>First Interstate BancSystem Corporate Responsibility Report,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FIBK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