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FLR</w:t>
      </w:r>
      <w:r>
        <w:rPr>
          <w:rFonts w:ascii="Calibri" w:hAnsi="Calibri"/>
          <w:b/>
          <w:color w:val="1A2010"/>
          <w:sz w:val="40"/>
        </w:rPr>
        <w:t xml:space="preserve">  Fluor Corporation</w:t>
      </w:r>
    </w:p>
    <w:p>
      <w:pPr>
        <w:spacing w:after="120"/>
      </w:pPr>
      <w:r>
        <w:rPr>
          <w:rFonts w:ascii="Calibri" w:hAnsi="Calibri"/>
          <w:b/>
          <w:color w:val="6E8450"/>
          <w:sz w:val="18"/>
        </w:rPr>
        <w:t>GROWTH SLEEVE · 2026-07-10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Engineering &amp; Construction · NYSE · United States</w:t>
      </w:r>
    </w:p>
    <w:p>
      <w:pPr>
        <w:spacing w:after="80"/>
      </w:pPr>
      <w:r>
        <w:rPr>
          <w:rFonts w:ascii="Calibri" w:hAnsi="Calibri"/>
          <w:b w:val="0"/>
          <w:color w:val="3A4A28"/>
          <w:sz w:val="20"/>
        </w:rPr>
        <w:t>Fluor Corporation provides engineering, procurement, and construction (EPC) services through three segments: Urban Solutions (advanced technologies, life sciences, mining, infrastructure), Energy Solutions (oil and gas, LNG, nuclear, energy transition), and Mission Solutions (U.S. government, nuclear remediation, defense). The company operates globally with a $25.7B backlog and was founded in 1912, headquartered in Irving, Texas.</w:t>
      </w:r>
    </w:p>
    <w:p>
      <w:r>
        <w:rPr>
          <w:rFonts w:ascii="Calibri" w:hAnsi="Calibri"/>
          <w:b/>
          <w:color w:val="6E8450"/>
          <w:sz w:val="18"/>
        </w:rPr>
        <w:t>22,995 Employees · https://www.fluor.com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Fluor has pivoted toward high-growth end markets including data centers, nuclear energy, LNG, and uranium enrichment over the past 3-5 years, building a $25.7B backlog that is 82% reimbursable — a deliberate shift toward lower-risk contract structures [1][2]. Divestitures (AMECO, Stork) generated $2.5B+ in cash to fund the repositioning. However, Q1 2026 revenue of $3.6B was down 8% YoY, and revenue has been essentially flat over 5 years. AI Deployment (0/2): No evidence of significant AI deployment in customer-facing products or quantified internal AI-driven efficiency gains; Fluor remains a project-execution business with traditional engineering workflows [3]. Market Share (2/2): Fluor is a top-tier global EPC firm competing with Bechtel, Jacobs, and KBR for the largest infrastructure projects, holding leading positions in LNG, nuclear remediation, and defense logistics [1]. Recent awards span gas-fueled and nuclear power, refining, data centers, mining, and uranium enrichment. Pipeline (1/2): The $25.7B backlog provides strong visibility with management expecting book-to-burn ratio to exceed 1.0 in 2026, supported by prospects across LNG, nuclear, data centers, and defense [1][2]. R&amp;D Intensity (1/1): Fluor invests in proprietary process technology, modular construction methods, and the Fluor Fellows innovation program, positioning at or above industry average for EPC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Fluor's purpose is built around four core values — Safety, Teamwork, Integrity, and Excellence — and a vision of building a better world through infrastructure, but the mission lacks specificity and aspiration that would distinguish it from peers like Bechtel or Jacobs [3]. Community Impact (1/2): Fluor directs charitable efforts toward education, public health, economic development, and environment — structured programs aligned with the company's global operations, though specific dollar amounts and distinctive community investments are not prominently disclosed [4]. Employee Retention (0/2): Glassdoor reviews reveal significant culture concerns — descriptions of 'toxic, abusive behavior coming from middle management,' a 'corporate culture that feels like high school,' 'lack of respect from senior leadership,' and insufficient support from headquarters [3]. No evidence of above-average retention or employees citing purpose as a reason for staying. Insider Buying (0/2): No evidence of meaningful net insider buying by executives in the open market; the $1.4B corporate buyback program is institutional capital allocation, not insider conviction signaling.</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Q1 2026 revenue of $3.6B was down 8% YoY with consolidated segment profit of only $8M (vs $131M prior year), reflecting a $37M mining project cost increase and $96M Mission Solutions litigation impact [1]. D/E of 18% is ultra-low with $2.27B cash against $1.07B debt (net cash $1.2B) — a fortress balance sheet for an EPC firm [5]. Forward P/E of 15.6 is attractively valued below the 20 target, and PEG of ~1.19 scores well. However, ROE is negative at -1.7% (FY2025 GAAP loss of $51M) and TTM profit margin of -2.1% both score 0 [5]. Revenue declined 8% YoY in Q1 2026 and the 5yr CAGR is approximately 3% (flat in real terms). Operating cash flow of $110M in Q1 2026 was the best Q1 in nine years. Adjusted EBITDA guidance trimmed to $525-560M (from $525-585M) [1]. Liquidity floor cleared at $122M daily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Fluor's 114-year history and deliberate pivot toward reimbursable contracts and higher-growth end markets show strategic evolution, but the company's execution challenges (Q1 2026 segment profit of only $8M), cultural concerns from Glassdoor reviews describing toxic behavior and lack of respect, and the CEO transition (Jim Breuer appointed May 2025) suggest a company still stabilizing rather than playing an infinite game. The $1.4B buyback prioritizing capital return over investment raises questions about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Fluor's cause — building the world's critical infrastructure safely and with integrity — has been validated by 114 years of continuous operation through wars, recessions, and industry transformations [3]. The company builds physical infrastructure that enables modern civilization, from energy systems to defense facilities to data centers. This is a genuine and enduring purpose, though it is shared broadly across the EPC industry and lacks the distinctive aspiration that Sinek associates with the highest-scoring causes.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reveal significant organizational culture concerns — descriptions of 'toxic, abusive behavior from middle management,' a 'corporate culture that feels like high school,' 'lack of respect from senior leadership,' and insufficient support from headquarters [3]. The CEO transition (Breuer appointed May 2025) introduces additional leadership uncertainty. While the Fluor Fellows program and stretch assignments suggest some investment in talent development, the cultural descriptions indicate a low-trust environment inconsistent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Fluor operates alongside Bechtel, Jacobs, KBR, and AECOM, and the shift toward reimbursable contracts and selective bidding suggests learning from past project losses. However, no evidence of management explicitly acknowledging competitors' strengths or framing competition as a catalyst for self-improvement in public communications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Fluor has demonstrated incremental flexibility by shifting its backlog composition to 82% reimbursable contracts (reducing fixed-price risk), pivoting toward energy transition markets (nuclear, hydrogen, carbon capture), adding data center construction and uranium enrichment as growth verticals, and divesting non-core assets for $2.5B+ [1]. These are meaningful strategic shifts within the company's EPC framework, though they represent portfolio evolution rather than transformative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Fluor demonstrated courage by completing $2.5B+ in divestitures (AMECO, Stork) to streamline the portfolio, and the deliberate shift to 82% reimbursable contracts — even at the cost of short-term revenue — reflects long-term risk management [1]. However, the $1.4B buyback targeting 14% share reduction ($516M in Q1 2026 alone) while segment profit was only $8M raises questions about whether capital is being allocated courageously toward long-term capability or financially engineered toward near-term EPS improvement.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Fluor is a top-tier global EPC firm with a $25.7B backlog (82% reimbursable) positioned at the intersection of data center construction, LNG expansion, nuclear energy revival, energy transition, and defense modernization [1]. The balance sheet is exceptionally strong with $2.27B cash against $1.07B debt (D/E just 18%), and the $1.4B buyback program targets a 14% share reduction in 2026 [1][5]. At 15.6x forward P/E on consensus forward EPS of ~$3.25, the stock is attractively valued for a company with improving earnings trajectory and AI-driven infrastructure tailwinds. Q1 2026 operating cash flow of $110M was the strongest Q1 in nine years, and management expects the 2026 book-to-burn ratio to exceed 1.0 as significant new awards materialize across nuclear power, data centers, mining, and uranium enrichment [1][2].</w:t>
      </w:r>
    </w:p>
    <w:p>
      <w:pPr>
        <w:spacing w:after="120"/>
      </w:pPr>
      <w:r>
        <w:rPr>
          <w:rFonts w:ascii="Calibri" w:hAnsi="Calibri"/>
          <w:b w:val="0"/>
          <w:color w:val="3A4A28"/>
          <w:sz w:val="20"/>
        </w:rPr>
        <w:t>The bear case centers on profitability challenges, execution risk, and cultural concerns. Q1 2026 was operationally weak — consolidated segment profit of only $8M (vs $131M prior year), adjusted EBITDA of $61M (vs $155M), and EBITDA guidance trimmed to $525-560M — reflecting a $37M mining project cost increase and $96M Mission Solutions litigation impact [1]. Revenue declined 8% YoY despite the massive backlog. FY2025 was a GAAP net loss (-$51M) with negative profit margin (-2.1%) and negative ROE (-1.7%), meaning the turnaround to sustainable profitability remains incomplete [5]. Glassdoor reviews describe 'toxic, abusive behavior from middle management' and a 'high school culture,' raising talent retention concerns for a business that depends on specialized engineering talent [3]. The CEO transition (Jim Breuer, May 2025) introduces leadership uncertainty during execution-critical backlog conversion. EPC project execution inherently carries risk — the 18% of backlog that is non-reimbursable could generate additional cost overruns similar to the Q1 mining project charge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Backlog conversion — $25.7B backlog with book-to-burn ratio expected to exceed 1.0 in 2026, with significant new awards across nuclear power, data centers, mining, and uranium enrichment providing a diversified growth pipeline [1][2]</w:t>
      </w:r>
    </w:p>
    <w:p>
      <w:pPr>
        <w:spacing w:before="40" w:after="40"/>
        <w:ind w:left="283"/>
      </w:pPr>
      <w:r>
        <w:rPr>
          <w:rFonts w:ascii="Calibri" w:hAnsi="Calibri"/>
          <w:b/>
          <w:color w:val="4A6B25"/>
          <w:sz w:val="20"/>
        </w:rPr>
        <w:t xml:space="preserve">2. </w:t>
      </w:r>
      <w:r>
        <w:rPr>
          <w:rFonts w:ascii="Calibri" w:hAnsi="Calibri"/>
          <w:b w:val="0"/>
          <w:color w:val="3A4A28"/>
          <w:sz w:val="20"/>
        </w:rPr>
        <w:t>Earnings inflection as margin-accretive reimbursable work (82% of backlog) dominates revenue, with 2026 adjusted EBITDA guidance of $525-560M representing significant improvement over FY2025 losses [1]</w:t>
      </w:r>
    </w:p>
    <w:p>
      <w:pPr>
        <w:spacing w:before="40" w:after="40"/>
        <w:ind w:left="283"/>
      </w:pPr>
      <w:r>
        <w:rPr>
          <w:rFonts w:ascii="Calibri" w:hAnsi="Calibri"/>
          <w:b/>
          <w:color w:val="4A6B25"/>
          <w:sz w:val="20"/>
        </w:rPr>
        <w:t xml:space="preserve">3. </w:t>
      </w:r>
      <w:r>
        <w:rPr>
          <w:rFonts w:ascii="Calibri" w:hAnsi="Calibri"/>
          <w:b w:val="0"/>
          <w:color w:val="3A4A28"/>
          <w:sz w:val="20"/>
        </w:rPr>
        <w:t>AI-driven infrastructure demand — data center construction and power generation projects in the pipeline benefit directly from the massive hyperscaler capital expenditure cycle requiring physical EPC execution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Profitability turnaround remains unproven — Q1 2026 segment profit of only $8M (vs $131M prior year), FY2025 GAAP loss, and trimmed EBITDA guidance raise execution concerns [1]</w:t>
      </w:r>
    </w:p>
    <w:p>
      <w:pPr>
        <w:spacing w:before="40" w:after="40"/>
        <w:ind w:left="283"/>
      </w:pPr>
      <w:r>
        <w:rPr>
          <w:rFonts w:ascii="Calibri" w:hAnsi="Calibri"/>
          <w:b/>
          <w:color w:val="4A6B25"/>
          <w:sz w:val="20"/>
        </w:rPr>
        <w:t xml:space="preserve">2. </w:t>
      </w:r>
      <w:r>
        <w:rPr>
          <w:rFonts w:ascii="Calibri" w:hAnsi="Calibri"/>
          <w:b w:val="0"/>
          <w:color w:val="3A4A28"/>
          <w:sz w:val="20"/>
        </w:rPr>
        <w:t>Project execution risk — Q1 2026 mining project cost increase ($37M) and Mission Solutions litigation ($96M) demonstrate the ongoing vulnerability to cost overruns, particularly on the 18% non-reimbursable backlog [1]</w:t>
      </w:r>
    </w:p>
    <w:p>
      <w:pPr>
        <w:spacing w:before="40" w:after="40"/>
        <w:ind w:left="283"/>
      </w:pPr>
      <w:r>
        <w:rPr>
          <w:rFonts w:ascii="Calibri" w:hAnsi="Calibri"/>
          <w:b/>
          <w:color w:val="4A6B25"/>
          <w:sz w:val="20"/>
        </w:rPr>
        <w:t xml:space="preserve">3. </w:t>
      </w:r>
      <w:r>
        <w:rPr>
          <w:rFonts w:ascii="Calibri" w:hAnsi="Calibri"/>
          <w:b w:val="0"/>
          <w:color w:val="3A4A28"/>
          <w:sz w:val="20"/>
        </w:rPr>
        <w:t>Toxic organizational culture — Glassdoor reviews describing abusive management, lack of respect from leadership, and high-school-like dynamics threaten talent retention for a business dependent on specialized engineering expertise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Fluor's core business — engineering, procurement, and construction of physical infrastructure — is structurally immune to AI substitution. Building LNG terminals, nuclear facilities, data centers, and defense installations requires physical-world execution, regulatory compliance, and on-the-ground project management that AI cannot replace [1]. The Mission Solutions segment serves U.S. government and military customers with classified work requiring human judgment and security clearances. More importantly, AI is a direct demand driver: data center construction is a growing end market within Fluor's backlog, and energy transition projects (nuclear, hydrogen, carbon capture) generate incremental EPC demand as AI increases global electricity consumption [1][2]. AI Opportunity (1/1): Fluor directly benefits from AI-driven infrastructure demand, with data center construction and power generation projects in the pipeline benefiting from the massive hyperscaler capital expenditure cycle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Fluor Q1 2026 Earnings Release — $3.6B Revenue (Down 8%), $8M Segment Profit, $61M Adjusted EBITDA, Trimmed EBITDA Guidance to $525-560M, May 8, 2026</w:t>
      </w:r>
    </w:p>
    <w:p>
      <w:pPr>
        <w:spacing w:before="20" w:after="20"/>
        <w:ind w:left="170"/>
      </w:pPr>
      <w:r>
        <w:rPr>
          <w:rFonts w:ascii="Calibri" w:hAnsi="Calibri"/>
          <w:b/>
          <w:color w:val="4A6B25"/>
          <w:sz w:val="15"/>
        </w:rPr>
        <w:t xml:space="preserve">2. </w:t>
      </w:r>
      <w:r>
        <w:rPr>
          <w:rFonts w:ascii="Calibri" w:hAnsi="Calibri"/>
          <w:b w:val="0"/>
          <w:color w:val="3A4A28"/>
          <w:sz w:val="17"/>
        </w:rPr>
        <w:t>Fluor Q4 and FY2025 Results — $15.5B Revenue, -$51M Net Income, $25.5B Backlog, 2026 Guidance, February 2026</w:t>
      </w:r>
    </w:p>
    <w:p>
      <w:pPr>
        <w:spacing w:before="20" w:after="20"/>
        <w:ind w:left="170"/>
      </w:pPr>
      <w:r>
        <w:rPr>
          <w:rFonts w:ascii="Calibri" w:hAnsi="Calibri"/>
          <w:b/>
          <w:color w:val="4A6B25"/>
          <w:sz w:val="15"/>
        </w:rPr>
        <w:t xml:space="preserve">3. </w:t>
      </w:r>
      <w:r>
        <w:rPr>
          <w:rFonts w:ascii="Calibri" w:hAnsi="Calibri"/>
          <w:b w:val="0"/>
          <w:color w:val="3A4A28"/>
          <w:sz w:val="17"/>
        </w:rPr>
        <w:t>Glassdoor Reviews, Fluor Leadership Page — CEO Jim Breuer (Appointed May 2025), Culture Concerns, Fluor Fellows Program, accessed July 2026</w:t>
      </w:r>
    </w:p>
    <w:p>
      <w:pPr>
        <w:spacing w:before="20" w:after="20"/>
        <w:ind w:left="170"/>
      </w:pPr>
      <w:r>
        <w:rPr>
          <w:rFonts w:ascii="Calibri" w:hAnsi="Calibri"/>
          <w:b/>
          <w:color w:val="4A6B25"/>
          <w:sz w:val="15"/>
        </w:rPr>
        <w:t xml:space="preserve">4. </w:t>
      </w:r>
      <w:r>
        <w:rPr>
          <w:rFonts w:ascii="Calibri" w:hAnsi="Calibri"/>
          <w:b w:val="0"/>
          <w:color w:val="3A4A28"/>
          <w:sz w:val="17"/>
        </w:rPr>
        <w:t>Sustainalytics / Yahoo Finance — Fluor ESG Risk Rating 33 (High), Controversy Level 3 (Significant), accessed July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FLR Key Statistics, Forward PE 15.6, D/E 18%, Balance Sheet,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