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FSCO</w:t>
      </w:r>
      <w:r>
        <w:rPr>
          <w:rFonts w:ascii="Calibri" w:hAnsi="Calibri"/>
          <w:b/>
          <w:color w:val="1A2010"/>
          <w:sz w:val="40"/>
        </w:rPr>
        <w:t xml:space="preserve">  FS Credit Opportunities Corp.</w:t>
      </w:r>
    </w:p>
    <w:p>
      <w:pPr>
        <w:spacing w:after="120"/>
      </w:pPr>
      <w:r>
        <w:rPr>
          <w:rFonts w:ascii="Calibri" w:hAnsi="Calibri"/>
          <w:b/>
          <w:color w:val="6E8450"/>
          <w:sz w:val="18"/>
        </w:rPr>
        <w:t>DIVIDEND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FS Credit Opportunities Corp. is a business development company / closed-end fixed income fund launched by Franklin Square Capital Partners (now Future Standard) in January 2013 and managed by FS Global Advisor, LLC. The fund invests across public and private global credit markets — secured and unsecured loans, bonds, event-driven credit, special situations, and private capital solutions — seeking premium returns from complexity and illiquidity, with a focus on Europe and the United States. The fund holds approximately $2.2 billion in assets under management.</w:t>
      </w:r>
    </w:p>
    <w:p>
      <w:r>
        <w:rPr>
          <w:rFonts w:ascii="Calibri" w:hAnsi="Calibri"/>
          <w:b/>
          <w:color w:val="6E8450"/>
          <w:sz w:val="18"/>
        </w:rPr>
        <w:t>https://www.franklinsquare.com/our-funds/fs-global-credit-opportunities-fund/overview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closed-end credit fund rather than an operating company, FSCO does not launch products or pivot business models; its main strategic evolution has been deepening its focus toward 'event-driven credit, special situations, and private capital solutions' where a complexity/illiquidity return premium exists, a modest but real positioning shift over its 13-year history [1]. AI Deployment (0/2): No FSCO-specific AI tools, underwriting automation, or AI-driven analytics were disclosed in research. Market Share (0/2): Credit CEFs do not compete on market share in a conventional sense, and no comparative data was found. Product Pipeline (0/2): No forward product roadmap exists for a closed-end fund operating within a fixed investment mandate. R&amp;D Intensity (0/1): Not applicable to a fund structure; no R&amp;D spending exists.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FSCO's stated objective is to 'generate total return by investing in non-traditional areas of the public and private credit markets' — standard, interchangeable investment-fund language with no purpose beyond financial return [1]. Community Impact (0/2): No charitable, foundation, or community program evidence was found. Employee Retention (0/2): No tenure, turnover, or culture data exists for the small externally-managed advisory team. Insider Buying (0/2): No fund-manager insider buying/selling data was identified in research; CIO Mike Kelly and Head of Global Credit Andrew Beckman were cited discussing strategy, but no transaction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core operating metrics (D/E, ROE, revenue growth, Forward P/E) are not meaningful or disclosed for a closed-end credit fund and are excluded from the calculation. Profit margin is reported as 0.0%, scoring zero against the algorithm's floor. On dividend metrics, the monthly distribution has been maintained without interruption since the fund's 2013 inception (~13 consecutive years paid, clearing the 10-year target), but the payout ratio of 104.9% exceeds net investment income and scores zero, and the distribution growth streak was recently broken — management cut the payout 'in response to declining interest rates' after growing it from $0.04 to $0.06/month since 2022, so consecutive years of growth resets to zero even though the multi-year trend was modestly positive [3][4]. Liquidity floor cleared: ~1.07M average daily volume at $4.91 yields roughly $5.3M in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 a closed-end income fund, FSCO is structurally built to generate returns for shareholders rather than to advance any cause — Sinek would classify this squarely as a finite-game vehicle by design. The recent distribution cut, framed by management as a response to falling rates rather than a principled long-term choice, and the absence of any community, mission, or worthy-rival evidence reinforce a finite read; this is not a criticism of fund competence, simply a mismatch with the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cause beyond generating investor total return was identified; the fund's own description is purely a financial investment objective with no service-oriented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'Recent leadership changes may introduce new strategic directions' was the only relevant commentary found — an ambiguous signal with no clear evidence of psychological safety or organizational stability either way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referencing competing credit funds' strengths as a spur for improvement; competitive framing, where it exists, centers on NAV-return comparisons rather than a stated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fund's gradual tilt toward event-driven credit, special situations, and private capital solutions in complex/illiquid segments of the market represents modest adaptation to changing credit market conditions, though it remains within the same core fixed-income mandate it has held since 2013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2026 distribution cut was framed by management as a rate-driven adjustment rather than a principled sacrifice of near-term income for long-term capability, and a 104.9% payout ratio suggests prioritizing current distributions over conservative capital preservation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FS Credit Opportunities Corp offers a high 15.6% distribution yield on a $2.2B portfolio of non-traditional public and private credit, with monthly distributions maintained without interruption since the fund's 2013 inception and a FY2025 NAV total return of 10.89% [1][3]. The fund's differentiated focus on event-driven credit, special situations, and private capital solutions provides exposure to complexity/illiquidity return premiums generally unavailable to retail fixed-income investors, and the July 2026 distribution has been described by management as fully covered by net investment income [3].</w:t>
      </w:r>
    </w:p>
    <w:p>
      <w:pPr>
        <w:spacing w:after="120"/>
      </w:pPr>
      <w:r>
        <w:rPr>
          <w:rFonts w:ascii="Calibri" w:hAnsi="Calibri"/>
          <w:b w:val="0"/>
          <w:color w:val="3A4A28"/>
          <w:sz w:val="20"/>
        </w:rPr>
        <w:t>The bear case is structural. FSCO does not fit the IOWN operating-company framework well — it has no product innovation, no distinctive mission, and virtually no conventional financial metrics (D/E, ROE, revenue growth, and Forward P/E are all unavailable), which mechanically caps the Infrastructure, Innovation, and Inspiration scores. The payout ratio of 104.9% exceeds net investment income, and management has already cut the monthly distribution once in 2026 'in response to declining interest rates,' breaking a growth streak that had taken the payout from $0.04 to $0.06/month since 2022 [3][4]. YTD 2026 NAV total return of only 1.7% through March, alongside a -16.1% market-price return over the same period, signals the fund is trading at a widening discount to NAV, consistent with market skepticism about distribution sustainability and credit quality in a fund that generates only modest new-money NAV appreciation.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the monthly distribution at the current $0.0583/share level with continued full coverage by net investment income, which could narrow the fund's discount to NAV</w:t>
      </w:r>
    </w:p>
    <w:p>
      <w:pPr>
        <w:spacing w:before="40" w:after="40"/>
        <w:ind w:left="283"/>
      </w:pPr>
      <w:r>
        <w:rPr>
          <w:rFonts w:ascii="Calibri" w:hAnsi="Calibri"/>
          <w:b/>
          <w:color w:val="4A6B25"/>
          <w:sz w:val="20"/>
        </w:rPr>
        <w:t xml:space="preserve">2. </w:t>
      </w:r>
      <w:r>
        <w:rPr>
          <w:rFonts w:ascii="Calibri" w:hAnsi="Calibri"/>
          <w:b w:val="0"/>
          <w:color w:val="3A4A28"/>
          <w:sz w:val="20"/>
        </w:rPr>
        <w:t>A steepening or higher-for-longer rate environment reducing pressure on floating-rate credit income relative to the rate-driven cut already taken in 2026</w:t>
      </w:r>
    </w:p>
    <w:p>
      <w:pPr>
        <w:spacing w:before="40" w:after="40"/>
        <w:ind w:left="283"/>
      </w:pPr>
      <w:r>
        <w:rPr>
          <w:rFonts w:ascii="Calibri" w:hAnsi="Calibri"/>
          <w:b/>
          <w:color w:val="4A6B25"/>
          <w:sz w:val="20"/>
        </w:rPr>
        <w:t xml:space="preserve">3. </w:t>
      </w:r>
      <w:r>
        <w:rPr>
          <w:rFonts w:ascii="Calibri" w:hAnsi="Calibri"/>
          <w:b w:val="0"/>
          <w:color w:val="3A4A28"/>
          <w:sz w:val="20"/>
        </w:rPr>
        <w:t>Event-driven credit opportunities (M&amp;A, special situations) widening in a more active corporate-transaction environment, playing to the fund's stated differentiated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104.9% exceeds net investment income; a further distribution cut is a real risk given one cut has already occurred in 2026 in response to declining rates</w:t>
      </w:r>
    </w:p>
    <w:p>
      <w:pPr>
        <w:spacing w:before="40" w:after="40"/>
        <w:ind w:left="283"/>
      </w:pPr>
      <w:r>
        <w:rPr>
          <w:rFonts w:ascii="Calibri" w:hAnsi="Calibri"/>
          <w:b/>
          <w:color w:val="4A6B25"/>
          <w:sz w:val="20"/>
        </w:rPr>
        <w:t xml:space="preserve">2. </w:t>
      </w:r>
      <w:r>
        <w:rPr>
          <w:rFonts w:ascii="Calibri" w:hAnsi="Calibri"/>
          <w:b w:val="0"/>
          <w:color w:val="3A4A28"/>
          <w:sz w:val="20"/>
        </w:rPr>
        <w:t>YTD 2026 market-price total return of -16.1% against a NAV return of only 1.7% signals a widening discount and weak investor confidence independent of underlying credit performance</w:t>
      </w:r>
    </w:p>
    <w:p>
      <w:pPr>
        <w:spacing w:before="40" w:after="40"/>
        <w:ind w:left="283"/>
      </w:pPr>
      <w:r>
        <w:rPr>
          <w:rFonts w:ascii="Calibri" w:hAnsi="Calibri"/>
          <w:b/>
          <w:color w:val="4A6B25"/>
          <w:sz w:val="20"/>
        </w:rPr>
        <w:t xml:space="preserve">3. </w:t>
      </w:r>
      <w:r>
        <w:rPr>
          <w:rFonts w:ascii="Calibri" w:hAnsi="Calibri"/>
          <w:b w:val="0"/>
          <w:color w:val="3A4A28"/>
          <w:sz w:val="20"/>
        </w:rPr>
        <w:t>The fund does not fit the IOWN operating-company framework — no product innovation, no distinctive mission, and largely unavailable conventional financial metrics mechanically compress the score across three of five scored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FSCO's core activity — sourcing, underwriting, and structuring complex private and event-driven credit (mergers, special situations, distressed opportunities) — depends on relationship-driven deal access and judgment-intensive structuring that generic AI tools cannot yet fully replicate, providing structural protection [1]. No FSCO-specific commentary on AI disruption risk was found, so this reflects a general industry read rather than company-specific analyst coverage; broader private credit underwriting is gradually incorporating AI/ML risk analytics, a moderate long-term competitive-erosion risk for smaller managers. AI Opportunity (0/1): No FSCO-specific AI product, tool, or revenue contribution was identified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FS Credit Opportunities Corp. (FSCO) Declares Distribution for April/July 2026 — PRNewswire / StockTitan, 2026</w:t>
      </w:r>
    </w:p>
    <w:p>
      <w:pPr>
        <w:spacing w:before="20" w:after="20"/>
        <w:ind w:left="170"/>
      </w:pPr>
      <w:r>
        <w:rPr>
          <w:rFonts w:ascii="Calibri" w:hAnsi="Calibri"/>
          <w:b/>
          <w:color w:val="4A6B25"/>
          <w:sz w:val="15"/>
        </w:rPr>
        <w:t xml:space="preserve">2. </w:t>
      </w:r>
      <w:r>
        <w:rPr>
          <w:rFonts w:ascii="Calibri" w:hAnsi="Calibri"/>
          <w:b w:val="0"/>
          <w:color w:val="3A4A28"/>
          <w:sz w:val="17"/>
        </w:rPr>
        <w:t>FS Credit Opportunities Corp. N-CSR Annual Report FY2025 — SEC EDGAR, filed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DividendSpot — FSCO Dividend History and Yield,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'FS Credit Opportunities: Meant For Income-Focused Investors (NYSE:FSCO),'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FSCO Quote Summary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