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FULT</w:t>
      </w:r>
      <w:r>
        <w:rPr>
          <w:rFonts w:ascii="Calibri" w:hAnsi="Calibri"/>
          <w:b/>
          <w:color w:val="1A2010"/>
          <w:sz w:val="40"/>
        </w:rPr>
        <w:t xml:space="preserve">  Fulton Financial Corporation</w:t>
      </w:r>
    </w:p>
    <w:p>
      <w:pPr>
        <w:spacing w:after="120"/>
      </w:pPr>
      <w:r>
        <w:rPr>
          <w:rFonts w:ascii="Calibri" w:hAnsi="Calibri"/>
          <w:b/>
          <w:color w:val="6E8450"/>
          <w:sz w:val="18"/>
        </w:rPr>
        <w:t>DIVIDEND SLEEVE · 2026-07-18 · Inspire: 47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Fulton Financial Corporation is a financial holding company headquartered in Lancaster, Pennsylvania. Through its subsidiary Fulton Bank, the company provides commercial and consumer banking, wealth management, and mortgage services across Pennsylvania, Maryland, Delaware, New Jersey, and Virginia. The company acquired Republic First Bancorp in 2024 and merged its Blue Foundry Bank subsidiary into Fulton Bank in July 2026, continuing a strategy of Mid-Atlantic footprint consolidation under CEO Curt Myers.</w:t>
      </w:r>
    </w:p>
    <w:p>
      <w:r>
        <w:rPr>
          <w:rFonts w:ascii="Calibri" w:hAnsi="Calibri"/>
          <w:b/>
          <w:color w:val="6E8450"/>
          <w:sz w:val="18"/>
        </w:rPr>
        <w:t>3,600 Employees · https://www.fultonbank.com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Fulton completed the merger of its Blue Foundry Bank subsidiary into Fulton Bank in July 2026, converting systems onto Fulton's core platform, following the 2024 Republic First Bancorp acquisition — continued incremental consolidation rather than a transformative pivot [1][2]. AI Deployment (0/2): No evidence of AI-powered products or quantified AI-driven savings; the bank's technology initiatives (nCino partnership for lending workflow, new COO for technology/operations) focus on digital process modernization rather than AI deployment [2]. Market Share (1/2): Fulton remains a meaningful Mid-Atlantic regional bank but is far from a category leader versus national banks or larger regionals. Pipeline (0/2): No next-generation products or specific technology initiatives with named launch dates beyond the Blue Foundry systems conversion were identified [2]. R&amp;D Intensity (0/1): No evidence of above-average technology investment relative to regional banking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Fulton Bank's community banking mission emphasizing personal relationships and community support is clear but interchangeable with virtually any community bank's stated purpose [2]. Community Impact (2/2): Fulton reports $303M in community development investment, $220M in mortgage loans to low-moderate income buyers (2023-2024), $135M in SBA loan originations, and an 'Outstanding' Community Reinvestment Act rating — specific, substantial evidence of community investment [3]. Employee Retention (1/2): CEO Curt Myers, with the company since 1990 and CEO since January 2023, provides deep leadership continuity, and his appointment to the Federal Reserve Bank of Philadelphia board reinforces external credibility, though no specific tenure/turnover data was found. Insider Buying (0/2): No evidence of meaningful net insider buying in the last 12 months; prior insider activity showed net selling.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(dividend stock; D/E excluded as unavailable for a bank holding company, per rule to score on available metrics). ROE of 11.60% scores 0.77 against the 15% target. Revenue growth of 9.70% YoY (FY2025) and ~9.5% 5yr CAGR both score close to the 10% target (0.99 and 0.97). Forward P/E of 11.19 and profit margin of 30.49% both clear their targets (capped at 1.0). On dividend metrics, payout ratio of 35.71% clears the 40% target (1.0) and 40 consecutive years of dividend payments caps at 1.0 (2x weight), but consecutive years of dividend growth (4, score 0.40) and a negligible 5yr dividend growth CAGR of 0.1% (score 0.02, 2x weight) are the weakest links, reflecting a long payment history without meaningful recent growth [1][4]. Liquidity floor easily cleared: 2.27M avg volume x $24.79 = $56.2M.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Fulton Financial exhibits mixed infinite game characteristics. The 140+ year history as a community bank demonstrates institutional endurance, and the Republic First and Blue Foundry acquisitions show willingness to consolidate opportunistically. However, the company's competitive positioning is conventional, innovation is incremental, and there is no evidence of transformative strategic thinking or competitive learning that would distinguish Fulton from hundreds of similar community banks.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Fulton's community banking purpose — serving local communities through personal relationships and financial empowerment — has been lived out for over 140 years and is validated by $303M in community development investment and an 'Outstanding' CRA rating [2][3]. However, this purpose is shared by virtually every community bank and is not a uniquely distinctive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continuity under CEO Curt Myers (with the company since 1990, CEO since 2023) and stable board governance suggest adequate organizational trust, reinforced by his external validation via the Philadelphia Fed board appointment, but no specific evidence of exceptional trust practices or employee empowerment was found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Fulton acknowledges competitors' strengths or uses competitive dynamics for self-improvement; public commentary focuses on internal execution (Blue Foundry integration, deposit growth) rather than competitive learning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Republic First Bancorp acquisition (2024) and the July 2026 Blue Foundry Bank merger show a pattern of opportunistic consolidation, but these are incremental scale additions within traditional community banking rather than radical business model reinvention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Republic First acquisition during 2024 regional banking stress required real conviction to deploy capital when peers retrenched, and continuing to integrate acquired institutions (Blue Foundry in 2026) while maintaining the dividend demonstrates capital allocation discipline, though no evidence of a truly contrarian long-term bet sacrificing near-term results was identified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Fulton Financial is a well-managed community bank trading at an attractive valuation — forward P/E of 11.19x with ROE of 11.60% and profit margin of 30.49% [1]. Q1 2026 net interest margin held at 3.58%, and the company continues to consolidate its Mid-Atlantic footprint, completing the Blue Foundry Bank systems conversion in July 2026 following the 2024 Republic First acquisition [1][2]. The 3.07% dividend yield on a conservative 35.71% payout ratio and 40 consecutive years of dividend payments provide income stability, and the Fulton Forward Foundation's $303M in community development investment (with an 'Outstanding' CRA rating) supports a strong ALIGNED faith alignment score [3].</w:t>
      </w:r>
    </w:p>
    <w:p>
      <w:pPr>
        <w:spacing w:after="120"/>
      </w:pPr>
      <w:r>
        <w:rPr>
          <w:rFonts w:ascii="Calibri" w:hAnsi="Calibri"/>
          <w:b w:val="0"/>
          <w:color w:val="3A4A28"/>
          <w:sz w:val="20"/>
        </w:rPr>
        <w:t>The bear case reflects structural challenges facing small regional banks. Dividend growth has been negligible — only 4 consecutive years of increases with a ~0.1% 5yr CAGR, offering minimal income growth despite the attractive yield [4]. ROE of 11.60% remains below the 15% target and trails larger, more efficient banks, and revenue growth of 9.70% YoY, while solid, has been volatile across recent years (3-22% range since 2021). No AI or meaningful digital-banking innovation was identified beyond a lending-workflow platform (nCino) and the Blue Foundry systems conversion, creating a long-term competitive disadvantage as fintech entrants and larger banks with bigger technology budgets capture digitally-native customers. Q2 2026 earnings, due July 23, 2026, will be an important read on whether NIM and integration costs from Blue Foundry pressure near-term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Blue Foundry Bank integration completed July 2026 — full realization of systems consolidation savings could support margin expansion in the back half of 2026 [1][2]</w:t>
      </w:r>
    </w:p>
    <w:p>
      <w:pPr>
        <w:spacing w:before="40" w:after="40"/>
        <w:ind w:left="283"/>
      </w:pPr>
      <w:r>
        <w:rPr>
          <w:rFonts w:ascii="Calibri" w:hAnsi="Calibri"/>
          <w:b/>
          <w:color w:val="4A6B25"/>
          <w:sz w:val="20"/>
        </w:rPr>
        <w:t xml:space="preserve">2. </w:t>
      </w:r>
      <w:r>
        <w:rPr>
          <w:rFonts w:ascii="Calibri" w:hAnsi="Calibri"/>
          <w:b w:val="0"/>
          <w:color w:val="3A4A28"/>
          <w:sz w:val="20"/>
        </w:rPr>
        <w:t>Q2 2026 earnings (July 23, 2026) will show whether net interest margin (3.58% in Q1) can stabilize or expand as the deposit franchise continues to grow [1]</w:t>
      </w:r>
    </w:p>
    <w:p>
      <w:pPr>
        <w:spacing w:before="40" w:after="40"/>
        <w:ind w:left="283"/>
      </w:pPr>
      <w:r>
        <w:rPr>
          <w:rFonts w:ascii="Calibri" w:hAnsi="Calibri"/>
          <w:b/>
          <w:color w:val="4A6B25"/>
          <w:sz w:val="20"/>
        </w:rPr>
        <w:t xml:space="preserve">3. </w:t>
      </w:r>
      <w:r>
        <w:rPr>
          <w:rFonts w:ascii="Calibri" w:hAnsi="Calibri"/>
          <w:b w:val="0"/>
          <w:color w:val="3A4A28"/>
          <w:sz w:val="20"/>
        </w:rPr>
        <w:t>Continued opportunistic M&amp;A consolidation in the Mid-Atlantic regional banking market, following the Republic First and Blue Foundry precedents, could add scale-driven earnings accretion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Negligible dividend growth — roughly 0.1% average annual dividend growth over the last five years provides minimal real income growth for dividend-focused investors despite the 3.07% yield [4]</w:t>
      </w:r>
    </w:p>
    <w:p>
      <w:pPr>
        <w:spacing w:before="40" w:after="40"/>
        <w:ind w:left="283"/>
      </w:pPr>
      <w:r>
        <w:rPr>
          <w:rFonts w:ascii="Calibri" w:hAnsi="Calibri"/>
          <w:b/>
          <w:color w:val="4A6B25"/>
          <w:sz w:val="20"/>
        </w:rPr>
        <w:t xml:space="preserve">2. </w:t>
      </w:r>
      <w:r>
        <w:rPr>
          <w:rFonts w:ascii="Calibri" w:hAnsi="Calibri"/>
          <w:b w:val="0"/>
          <w:color w:val="3A4A28"/>
          <w:sz w:val="20"/>
        </w:rPr>
        <w:t>Credit quality and integration risk — commercial real estate exposure and the ongoing Blue Foundry systems conversion carry execution risk that could pressure near-term provision expenses and costs [1][2]</w:t>
      </w:r>
    </w:p>
    <w:p>
      <w:pPr>
        <w:spacing w:before="40" w:after="40"/>
        <w:ind w:left="283"/>
      </w:pPr>
      <w:r>
        <w:rPr>
          <w:rFonts w:ascii="Calibri" w:hAnsi="Calibri"/>
          <w:b/>
          <w:color w:val="4A6B25"/>
          <w:sz w:val="20"/>
        </w:rPr>
        <w:t xml:space="preserve">3. </w:t>
      </w:r>
      <w:r>
        <w:rPr>
          <w:rFonts w:ascii="Calibri" w:hAnsi="Calibri"/>
          <w:b w:val="0"/>
          <w:color w:val="3A4A28"/>
          <w:sz w:val="20"/>
        </w:rPr>
        <w:t>Technology disruption gap — limited visible AI or digital-banking innovation creates a long-term competitive disadvantage versus fintech competitors and larger banks with bigger technology budgets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Community banking involves heavily regulated processes (KYC/AML compliance, lending underwriting, FDIC-regulated deposit insurance), physical branch infrastructure, and relationship-driven commercial and consumer banking that AI cannot structurally displace [2]. Fulton's core revenue streams require regulatory licenses, fiduciary responsibilities, and human relationship management that create meaningful defensive moats. Some back-office functions (fraud detection, document processing, credit scoring) face AI-driven automation pressure, and the bank's own technology hires (new COO for tech/operations) suggest awareness that digital-native competitors could erode share over time. AI Opportunity (0/1): Fulton does not generate revenue from AI products or services; its 2026 technology initiatives (Blue Foundry systems conversion, nCino lending platform) are digital modernization rather than AI monetization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Fulton Financial Q1 2026 Earnings Release and 8-K — net interest income $262.0M, NIM 3.58%, Q2 2026 earnings scheduled July 22-23, 2026</w:t>
      </w:r>
    </w:p>
    <w:p>
      <w:pPr>
        <w:spacing w:before="20" w:after="20"/>
        <w:ind w:left="170"/>
      </w:pPr>
      <w:r>
        <w:rPr>
          <w:rFonts w:ascii="Calibri" w:hAnsi="Calibri"/>
          <w:b/>
          <w:color w:val="4A6B25"/>
          <w:sz w:val="15"/>
        </w:rPr>
        <w:t xml:space="preserve">2. </w:t>
      </w:r>
      <w:r>
        <w:rPr>
          <w:rFonts w:ascii="Calibri" w:hAnsi="Calibri"/>
          <w:b w:val="0"/>
          <w:color w:val="3A4A28"/>
          <w:sz w:val="17"/>
        </w:rPr>
        <w:t>Fulton Financial / Blue Foundry Bank Merger and Technology Initiatives — PR Newswire, StockTitan, GlobalFintechSeries (nCino), Central Penn Business Journal, 2026</w:t>
      </w:r>
    </w:p>
    <w:p>
      <w:pPr>
        <w:spacing w:before="20" w:after="20"/>
        <w:ind w:left="170"/>
      </w:pPr>
      <w:r>
        <w:rPr>
          <w:rFonts w:ascii="Calibri" w:hAnsi="Calibri"/>
          <w:b/>
          <w:color w:val="4A6B25"/>
          <w:sz w:val="15"/>
        </w:rPr>
        <w:t xml:space="preserve">3. </w:t>
      </w:r>
      <w:r>
        <w:rPr>
          <w:rFonts w:ascii="Calibri" w:hAnsi="Calibri"/>
          <w:b w:val="0"/>
          <w:color w:val="3A4A28"/>
          <w:sz w:val="17"/>
        </w:rPr>
        <w:t>Fulton Bank 2024/2025 Corporate Social Responsibility Report — $303M community development, 'Outstanding' CRA rating, $220M LMI mortgage loans, $135M SBA loans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FULT Key Statistics, Financials, and Dividend History,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