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FWONK</w:t>
      </w:r>
      <w:r>
        <w:rPr>
          <w:rFonts w:ascii="Calibri" w:hAnsi="Calibri"/>
          <w:b/>
          <w:color w:val="1A2010"/>
          <w:sz w:val="40"/>
        </w:rPr>
        <w:t xml:space="preserve">  Formula One Group</w:t>
      </w:r>
    </w:p>
    <w:p>
      <w:pPr>
        <w:spacing w:after="120"/>
      </w:pPr>
      <w:r>
        <w:rPr>
          <w:rFonts w:ascii="Calibri" w:hAnsi="Calibri"/>
          <w:b/>
          <w:color w:val="6E8450"/>
          <w:sz w:val="18"/>
        </w:rPr>
        <w:t>GROWTH SLEEVE · 2026-07-19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Formula One Group, a tracking stock of Liberty Media Corporation, holds the commercial rights to the FIA Formula One World Championship and also owns MotoGP, the F2 and F3 feeder series, and F1 Academy. The company generates revenue from race promotion fees, broadcast rights, sponsorship, and the F1 Paddock Club hospitality program across a global race calendar. Liberty Media acquired F1 in 2017; the company is headquartered in Englewood, Colorado.</w:t>
      </w:r>
    </w:p>
    <w:p>
      <w:r>
        <w:rPr>
          <w:rFonts w:ascii="Calibri" w:hAnsi="Calibri"/>
          <w:b/>
          <w:color w:val="6E8450"/>
          <w:sz w:val="18"/>
        </w:rPr>
        <w:t>https://www.libertymedia.com/formula-one-group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Liberty Media's Netflix 'Drive to Survive' strategy and US market expansion (Las Vegas GP) have been widely credited with growing F1's global commercial value; full-year 2025 F1 revenue grew 14% to $3.9B with operating income up 28% to $632M, and Q1 2026 revenue surged 53% to $617M (aided by an extra race weekend and calendar timing) [1]. AI Deployment (2/2): Eight new AI partnerships were signed in a six-month span, and AWS's F1 Insights platform now runs named production tools — Tyre Performance Predictor, Pit Stop Window, Overtaking Probability, and the generative-AI 'StatBot' for broadcasters — while remote AI-assisted production has cut on-site broadcast crews from hundreds of people to roughly 40-50 [2]. Market Share (2/2): F1 holds an effective global monopoly on premier open-wheel motorsport, and Liberty's ownership of both F1 and MotoGP gives it commanding position across the two largest motorsport disciplines; 2025 fan attendance reached 6.75M (+4%) with live viewership up 21% [1]. Product Pipeline (1/2): The Turkish Grand Prix returns in 2027 under a new multi-year agreement, and partnerships with Salesforce, Allwyn, Marsh, FanDuel, and Betway were extended, though no major next-generation product beyond calendar/partnership additions was identified [1]. R&amp;D Intensity (0/1): No traditional R&amp;D spending applies to a media/commercial-rights holder; the $135M team cost cap governs competing teams' engineering spend, not Liberty's own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Liberty Media/F1 purpose statement was identified beyond commercial growth framing — outgoing CEO Greg Maffei described the goal as making F1 'more competitive, sustainable and spectacular,' a reasonable soundbite but not a deeply articulated cause [3]. Community Impact (1/2): F1's first Impact Report cites a 13% carbon footprint reduction versus a 2018 baseline and the F1 Academy all-female racing series promotes diversity in motorsport — specific, named initiatives, though moderate in scale relative to the business [4]. Employee Retention (0/2): No employee tenure/turnover data was found; the more relevant signal is executive instability — Greg Maffei is the fourth senior Liberty Media executive to depart since the 2017 F1 acquisition, stepping down as President/CEO at the end of his contract in 2024 [3]. Insider Buying (0/2): Director Chase Carey sold $9.03M (100,000 shares) and executive Renee Wilm sold $1.04M (42.66% of her position) in mid-2026 — clear net insider selling with no offsetting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18.3% YoY and D/E of 59.9% both clear their targets, but ROE of 2.7% and profit margin of 5.5% are far below the 15%/20% targets, and Forward P/E of 48.0x is well above the 20x target. Forward PEG of 12.5 is extreme — Q1 2026 earnings growth was actually negative (-43.6% YoY, -49.7% quarterly per trailing figures) even as revenue surged, reflecting lumpy quarter-to-quarter recognition (extra race weekends, MotoGP integration costs) rather than a clean growth-to-earnings translation, and the metric scores zero against its algorithm floor [1][6]. Liquidity floor easily cleared: ~2.10M average daily volume at $102.20 yields roughly $214M in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Media's reinvention of F1 from a Euro-centric TV-rights motorsport property into a global entertainment franchise is a genuine, successful transformation, and long-horizon bets like the Las Vegas GP and sustainability commitments show some willingness to invest ahead of certain payoff. But four senior executive departures since the 2017 acquisition — including the CEO who built the growth strategy — combined with a lack of any articulated cause beyond commercial growth and no worthy-rival evidence, land this closer to finite than infinite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Framing F1 as becoming 'more competitive, sustainable and spectacular' touches on legitimate themes but reads as strategic/commercial positioning rather than a resilient, tested cause bigger than quarterly and season-to-season commercial results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senior Liberty Media executives, including President/CEO Greg Maffei, have departed since the 2017 F1 acquisition — a meaningful pattern of senior leadership churn that is a clear instability signal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F1/Liberty Media publicly framing competition (NASCAR, other global sports/entertainment properties) in terms of learning from rivals' strengths; F1 operates in a category with few directly comparable global-scale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Liberty transformed F1 from a traditional TV-rights motorsport series into a global content and entertainment franchise via the 'Drive to Survive' Netflix partnership, US market expansion (three Grand Prix including Las Vegas), and the MotoGP acquisition — a genuine, successful business-model reinvention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unproven markets (the Las Vegas GP launch, the returning Turkish GP) and sustainability targets (13% carbon reduction versus 2018) show some willingness to invest ahead of certain payoff, but the pattern of senior leadership churn and speculation about a possible F1 sale undercut a clear narrative of steady, principled long-term conviction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Formula One's commercial momentum remains strong: full-year 2025 F1 revenue grew 14% to $3.9B with operating income up 28% to $632M and Adjusted OIBDA up 20% to $946M, while Q1 2026 revenue surged 53% to $617M with Adjusted OIBDA more than doubling to $172M [1]. Fan attendance hit a record 6.75M (+4%) and live viewership grew 21%, and the Turkish Grand Prix returns in 2027 under a new multi-year agreement alongside extended sponsorships (Salesforce, Allwyn, Marsh, FanDuel, Betway) [1]. The business is a structurally AI-resilient, effectively monopolistic global media and live-events franchise, and AWS-powered AI tools (F1 Insights, StatBot) are actively enhancing the broadcast product and production efficiency without threatening the core commercial-rights model [2].</w:t>
      </w:r>
    </w:p>
    <w:p>
      <w:pPr>
        <w:spacing w:after="120"/>
      </w:pPr>
      <w:r>
        <w:rPr>
          <w:rFonts w:ascii="Calibri" w:hAnsi="Calibri"/>
          <w:b w:val="0"/>
          <w:color w:val="3A4A28"/>
          <w:sz w:val="20"/>
        </w:rPr>
        <w:t>The bear case centers on earnings quality, leadership stability, and valuation. Trailing earnings growth was actually negative in the most recent periods (-43.6% YoY, -49.7% quarterly) even as headline revenue surged, producing a Forward P/E of 48.0x and an extreme Forward PEG of 12.5x that score at the floor of the Infrastructure algorithm [1][6]. ROE of 2.7% and profit margin of 5.5% are weak for the asset's scale, reflecting MotoGP integration costs and lumpy quarter-to-quarter revenue recognition tied to race-calendar timing. Greg Maffei — the executive most associated with the 'Drive to Survive' growth strategy — is the fourth senior Liberty Media leader to depart since the 2017 acquisition, and directors have been meaningful net sellers of FWONK stock in 2026 (Chase Carey's $9.03M sale, Renee Wilm's 42.66%-of-position sale), raising questions about insider conviction at current prices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Turkish Grand Prix returning in 2027 under a new multi-year agreement, adding to a race calendar already delivering record attendance (6.75M, +4%) and viewership (+21%)</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production efficiency (crew reductions from hundreds to 40-50 people per broadcast) and AWS F1 Insights fan-engagement tools supporting margin expansion</w:t>
      </w:r>
    </w:p>
    <w:p>
      <w:pPr>
        <w:spacing w:before="40" w:after="40"/>
        <w:ind w:left="283"/>
      </w:pPr>
      <w:r>
        <w:rPr>
          <w:rFonts w:ascii="Calibri" w:hAnsi="Calibri"/>
          <w:b/>
          <w:color w:val="4A6B25"/>
          <w:sz w:val="20"/>
        </w:rPr>
        <w:t xml:space="preserve">3. </w:t>
      </w:r>
      <w:r>
        <w:rPr>
          <w:rFonts w:ascii="Calibri" w:hAnsi="Calibri"/>
          <w:b w:val="0"/>
          <w:color w:val="3A4A28"/>
          <w:sz w:val="20"/>
        </w:rPr>
        <w:t>Resolution of senior leadership transition following Greg Maffei's 2024 departure, providing clarity on strategic continuity for the 'Drive to Survive' commercial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12.5x and Forward P/E of 48.0x are extreme against recent negative trailing earnings growth (-43.6% YoY), leaving the stock vulnerable to multiple compression if profitability doesn't catch up to revenue growth</w:t>
      </w:r>
    </w:p>
    <w:p>
      <w:pPr>
        <w:spacing w:before="40" w:after="40"/>
        <w:ind w:left="283"/>
      </w:pPr>
      <w:r>
        <w:rPr>
          <w:rFonts w:ascii="Calibri" w:hAnsi="Calibri"/>
          <w:b/>
          <w:color w:val="4A6B25"/>
          <w:sz w:val="20"/>
        </w:rPr>
        <w:t xml:space="preserve">2. </w:t>
      </w:r>
      <w:r>
        <w:rPr>
          <w:rFonts w:ascii="Calibri" w:hAnsi="Calibri"/>
          <w:b w:val="0"/>
          <w:color w:val="3A4A28"/>
          <w:sz w:val="20"/>
        </w:rPr>
        <w:t>Four senior Liberty Media executive departures since the 2017 F1 acquisition, including CEO Greg Maffei, plus meaningful director-level insider selling in 2026 (Chase Carey $9.03M, Renee Wilm 42.66% of her position)</w:t>
      </w:r>
    </w:p>
    <w:p>
      <w:pPr>
        <w:spacing w:before="40" w:after="40"/>
        <w:ind w:left="283"/>
      </w:pPr>
      <w:r>
        <w:rPr>
          <w:rFonts w:ascii="Calibri" w:hAnsi="Calibri"/>
          <w:b/>
          <w:color w:val="4A6B25"/>
          <w:sz w:val="20"/>
        </w:rPr>
        <w:t xml:space="preserve">3. </w:t>
      </w:r>
      <w:r>
        <w:rPr>
          <w:rFonts w:ascii="Calibri" w:hAnsi="Calibri"/>
          <w:b w:val="0"/>
          <w:color w:val="3A4A28"/>
          <w:sz w:val="20"/>
        </w:rPr>
        <w:t>Speculation about a potential sale of F1 by Liberty Media introduces strategic uncertainty for FWONK tracking-stock holders independent of the underlying sport's commercial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F1's core product — live global motorsport competition, exclusive FIA commercial rights, and in-person event/hospitality experiences — cannot be substituted by AI; the physical spectacle of racing, broadcast rights exclusivity, and race-hosting fees are structurally immune to AI displacement, and AI is being used to enhance the broadcast product rather than threaten the underlying business [1][2]. AI Opportunity (1/1): Concrete, named deployments include the AWS-powered F1 Insights suite and the generative 'StatBot' broadcaster tool, with eight new AI partnerships signed in six months materially improving production efficiency (cutting on-site crews from hundreds to 40-50 people)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Media Corporation Reports First Quarter 2026 Financial and Operating Results — businesswire.com / libertymedia.com, May 6, 2026</w:t>
      </w:r>
    </w:p>
    <w:p>
      <w:pPr>
        <w:spacing w:before="20" w:after="20"/>
        <w:ind w:left="170"/>
      </w:pPr>
      <w:r>
        <w:rPr>
          <w:rFonts w:ascii="Calibri" w:hAnsi="Calibri"/>
          <w:b/>
          <w:color w:val="4A6B25"/>
          <w:sz w:val="15"/>
        </w:rPr>
        <w:t xml:space="preserve">2. </w:t>
      </w:r>
      <w:r>
        <w:rPr>
          <w:rFonts w:ascii="Calibri" w:hAnsi="Calibri"/>
          <w:b w:val="0"/>
          <w:color w:val="3A4A28"/>
          <w:sz w:val="17"/>
        </w:rPr>
        <w:t>TechHQ / BlackBook Motorsport — 'AI partnerships become a bigger part of Formula One team operations' / 'How AI is changing the way we watch F1,' 2026</w:t>
      </w:r>
    </w:p>
    <w:p>
      <w:pPr>
        <w:spacing w:before="20" w:after="20"/>
        <w:ind w:left="170"/>
      </w:pPr>
      <w:r>
        <w:rPr>
          <w:rFonts w:ascii="Calibri" w:hAnsi="Calibri"/>
          <w:b/>
          <w:color w:val="4A6B25"/>
          <w:sz w:val="15"/>
        </w:rPr>
        <w:t xml:space="preserve">3. </w:t>
      </w:r>
      <w:r>
        <w:rPr>
          <w:rFonts w:ascii="Calibri" w:hAnsi="Calibri"/>
          <w:b w:val="0"/>
          <w:color w:val="3A4A28"/>
          <w:sz w:val="17"/>
        </w:rPr>
        <w:t>Forbes — 'Greg Maffei Of Formula One Owner Liberty Media Departs As President And CEO,' November 2024; Formula1.com — 'Beyond The Grid' interview with Greg Maffei</w:t>
      </w:r>
    </w:p>
    <w:p>
      <w:pPr>
        <w:spacing w:before="20" w:after="20"/>
        <w:ind w:left="170"/>
      </w:pPr>
      <w:r>
        <w:rPr>
          <w:rFonts w:ascii="Calibri" w:hAnsi="Calibri"/>
          <w:b/>
          <w:color w:val="4A6B25"/>
          <w:sz w:val="15"/>
        </w:rPr>
        <w:t xml:space="preserve">4. </w:t>
      </w:r>
      <w:r>
        <w:rPr>
          <w:rFonts w:ascii="Calibri" w:hAnsi="Calibri"/>
          <w:b w:val="0"/>
          <w:color w:val="3A4A28"/>
          <w:sz w:val="17"/>
        </w:rPr>
        <w:t>corp.formula1.com — F1 ESG Briefing Note and first Impact Report, sustainability progress disclosures</w:t>
      </w:r>
    </w:p>
    <w:p>
      <w:pPr>
        <w:spacing w:before="20" w:after="20"/>
        <w:ind w:left="170"/>
      </w:pPr>
      <w:r>
        <w:rPr>
          <w:rFonts w:ascii="Calibri" w:hAnsi="Calibri"/>
          <w:b/>
          <w:color w:val="4A6B25"/>
          <w:sz w:val="15"/>
        </w:rPr>
        <w:t xml:space="preserve">5. </w:t>
      </w:r>
      <w:r>
        <w:rPr>
          <w:rFonts w:ascii="Calibri" w:hAnsi="Calibri"/>
          <w:b w:val="0"/>
          <w:color w:val="3A4A28"/>
          <w:sz w:val="17"/>
        </w:rPr>
        <w:t>MarketBeat / TickerReport — FWONK Insider Trading Form 4 disclosures (Chase Carey, Renee Wilm), 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FWONK Quote Summary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