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GBDC</w:t>
      </w:r>
      <w:r>
        <w:rPr>
          <w:rFonts w:ascii="Calibri" w:hAnsi="Calibri"/>
          <w:b/>
          <w:color w:val="1A2010"/>
          <w:sz w:val="40"/>
        </w:rPr>
        <w:t xml:space="preserve">  Golub Capital BDC, Inc.</w:t>
      </w:r>
    </w:p>
    <w:p>
      <w:pPr>
        <w:spacing w:after="120"/>
      </w:pPr>
      <w:r>
        <w:rPr>
          <w:rFonts w:ascii="Calibri" w:hAnsi="Calibri"/>
          <w:b/>
          <w:color w:val="6E8450"/>
          <w:sz w:val="18"/>
        </w:rPr>
        <w:t>DIVIDEND SLEEVE · 2026-07-12 · Inspire: 16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Golub Capital BDC is an externally managed business development company investing primarily in first-lien senior secured and one-stop loans to U.S. middle-market companies backed by private equity sponsors. Managed by Golub Capital LLC, a leading private credit manager with $75B AUM founded in 1994 by David Golub. Portfolio of $8.3B across 420 companies as of March 2026. The company recently reset its base dividend from $0.39 to $0.33 per share.</w:t>
      </w:r>
    </w:p>
    <w:p>
      <w:r>
        <w:rPr>
          <w:rFonts w:ascii="Calibri" w:hAnsi="Calibri"/>
          <w:b/>
          <w:color w:val="6E8450"/>
          <w:sz w:val="18"/>
        </w:rPr>
        <w:t>30 Employees · https://golubcapitalbdc.com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September 2024 merger with Golub Capital BDC 3 meaningfully scaled the vehicle to $8.3B across 420 companies, and the parent firm has grown AUM to $75B over 30+ years through consistent middle-market origination [1]. GBDC has maintained first-lien senior secured credit discipline through multiple credit cycles since its 2010 IPO. AI Deployment (0/2): No AI-powered products shipping to customers or quantified AI-driven cost savings disclosed. The Stanford Golub Capital Social Impact Lab is philanthropic/academic, not operational AI deployment. Proprietary credit analytics are standard diligence tools, not differentiated AI products [3]. Market Share (1/2): Top-tier middle-market private credit manager with durable PE sponsor relationships and $75B parent AUM, but GBDC itself is mid-pack among externally managed BDCs behind ARCC ($25B+) and BXSL by scale [1]. Product Pipeline (0/2): BDCs originate loans as opportunities arise from sponsor deal flow — no meaningful product pipeline concept applies to this business model. R&amp;D Intensity (0/1): BDCs do not compete on technology spend or research; this metric is not applicable.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Golub Capital's stated purpose of providing reliable, partnership-oriented financing to middle-market companies identifies what the firm does and for whom — enabling growth for companies too small for public markets. The 30-year track record under David Golub validates consistency, but the mission doesn't articulate a deeper purpose or vision of a better future beyond reliable capital provision [3]. Community Impact (2/2): The Golub Capital Social Impact Lab at Stanford Graduate School of Business is a distinctive, substantial philanthropic commitment with measurable academic output on social entrepreneurship and impact investing — this is specific, differentiated community investment well beyond standard corporate giving [3]. Employee Retention (1/2): Parent Golub Capital earns 3.9/5 on Glassdoor with 86% recommending to a friend, suggesting above-average culture and retention for the financial services industry [3]. The four-member senior management team (Lawrence Golub, David Golub, Steuerman, Cashman) has been stable for over a decade. Insider Buying (0/2): No meaningful net open-market insider buying reported in the last 12 months. David Golub's economic interest is primarily through the management company rather than GBDC common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FY2026 (March 2026 quarter) reported NII of $0.33/share, covering the reset base dividend of $0.33 at a razor-thin 1.0x coverage [1]. NAV per share declined from $14.84 to $14.35 (down 3.3%) on $132.3M of net realized and unrealized losses from credit spread widening and portfolio company underperformance [1]. D/E of approximately 120% reflects regulatory leverage permitted under BDC rules. Forward P/E of ~9.6 (based on annualized NII) screens cheaply but reflects market skepticism about credit trajectory. The base dividend was reset from $0.39 to $0.33 (15% cut), ending any dividend growth streak [1][2]. Consecutive years paid remains strong at 16 (since 2010 IPO). NII margin remains healthy at approximately 50% of total investment income. Portfolio nonaccrual rate of 1.4% is below sector averages but rising. Liquidity floor cleared: 1.39M avg volume x $12.65 = $17.6M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Golub Capital BDC inherits infinite-game credibility from its founder-led parent — 30+ years of consistent first-lien senior-secured discipline through multiple credit cycles under David Golub's leadership. However, as an externally managed BDC, GBDC is structurally a finite-game vehicle tied to management-fee economics, quarterly dividend optics, and the leveraged-lending cycle. The dividend cut from $0.39 to $0.33 was a responsibly infinite decision (sustainability over optics), but the fundamental business exists to generate income rather than advance a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Golub Capital's purpose of being the partnership-oriented lender of choice for middle-market companies has been consistently articulated and executed for 30+ years under David Golub's leadership, surviving the 2008 financial crisis, COVID, and now rising credit stress [3]. The Stanford Social Impact Lab and HBS Club of New York Business Leadership Award validate that purpose is operationalized beyond profit. However, the BDC wrapper is ultimately a capital-markets vehicle — the purpose lives in the management company, not necessarily in the publicly traded income vehicle.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Parent Golub Capital earns 3.9/5 on Glassdoor with 86% recommending to a friend and 3.7 on culture/values — above-average for financial services [3]. The four-member senior management team has been stable for over a decade, and David Golub's leadership philosophy emphasizes collaborative investment decision-making. Adequate trust without standout evidence of exceptional psychological safety or employee empowerment beyond the norm.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BDC management commentary and investor presentations focus on portfolio metrics, yield competition, and origination volume rather than learning from rivals' strengths [1]. The industry's competitive language is about spread capture and deal flow market share. No evidence that GBDC or Golub Capital frames Ares (ARCC), Blackstone Private Credit (BXSL), or Blue Owl (OBDC) as worthy rivals whose strengths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GBDC has adapted through scale (the 2024 GBDC 3 merger nearly doubled the portfolio to $8.3B), evolved portfolio composition toward predominantly first-lien one-stop loans, and the parent has expanded from pure middle-market lending to $75B AUM across multiple strategies [1]. The dividend reset from $0.39 to $0.33 with a supplemental variable policy shows willingness to adapt structure. However, the fundamental business model — originating senior secured loans to PE-backed middle-market companies — has not changed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proactive dividend reset from $0.39 to $0.33 (anticipating rate cuts rather than waiting for a forced cut) demonstrated responsible long-term thinking over short-term optics [2]. Management has maintained underwriting discipline through hot credit markets, kept the portfolio first-lien-heavy (avoiding yield-chasing into junior debt), and absorbed NAV pressure rather than reaching for spread. However, the external management structure incentivizes AUM growth and fee generation in ways that can conflict with shareholder-first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GBDC offers an 11.3% dividend yield supported by a conservatively positioned $8.3B portfolio across 420 middle-market companies, managed by one of private credit's most experienced teams (Golub Capital, $75B AUM, 30+ years) [1][3]. The base dividend reset to $0.33 (from $0.39) aligns the payout with current NII generation at 1.0x coverage, creating a sustainable distribution framework with supplemental variable dividends for upside participation [2]. The portfolio's 1.4% nonaccrual rate remains well below sector averages, and the predominantly first-lien senior secured structure (each position averaging &lt;0.2% of portfolio, top 10 only 13%) provides meaningful downside protection [1]. At $12.65 stock price versus $14.35 NAV (12% discount), investors are buying the portfolio at a meaningful discount to fair value while collecting double-digit income.</w:t>
      </w:r>
    </w:p>
    <w:p>
      <w:pPr>
        <w:spacing w:after="120"/>
      </w:pPr>
      <w:r>
        <w:rPr>
          <w:rFonts w:ascii="Calibri" w:hAnsi="Calibri"/>
          <w:b w:val="0"/>
          <w:color w:val="3A4A28"/>
          <w:sz w:val="20"/>
        </w:rPr>
        <w:t>The bear case centers on deteriorating private credit fundamentals and structural BDC limitations. Q2 FY2026 reported a GAAP net loss of $0.18/share driven by $132.3M in net realized and unrealized losses from credit spread widening, while NII declined to $0.33 from $0.37 the prior quarter — demonstrating the sensitivity to both rate cuts (lower floating-rate income) and credit stress (markdowns) [1]. NAV per share dropped 3.3% in a single quarter ($14.84 to $14.35), erasing value faster than the dividend can compound it. The dividend cut (39c to 33c) eliminates the growth thesis and signals management expects further NII pressure as rates normalize. NII coverage at exactly 1.0x leaves zero margin for credit deterioration — any meaningful uptick in nonaccruals from the current 1.4% would force another cut. The external management structure creates permanent fee drag and AUM-growth conflicts of interest. The Inspire score of 16 (MIXED) and inherent lack of innovation/purpose in the BDC structure limit the IOWN framework appeal.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NII stabilization at or above $0.33/share through remaining FY2026 quarters as the portfolio reprices to current spreads, maintaining 1.0x+ dividend coverage and preventing further distribution cuts [1]</w:t>
      </w:r>
    </w:p>
    <w:p>
      <w:pPr>
        <w:spacing w:before="40" w:after="40"/>
        <w:ind w:left="283"/>
      </w:pPr>
      <w:r>
        <w:rPr>
          <w:rFonts w:ascii="Calibri" w:hAnsi="Calibri"/>
          <w:b/>
          <w:color w:val="4A6B25"/>
          <w:sz w:val="20"/>
        </w:rPr>
        <w:t xml:space="preserve">2. </w:t>
      </w:r>
      <w:r>
        <w:rPr>
          <w:rFonts w:ascii="Calibri" w:hAnsi="Calibri"/>
          <w:b w:val="0"/>
          <w:color w:val="3A4A28"/>
          <w:sz w:val="20"/>
        </w:rPr>
        <w:t>Nonaccrual rate remaining below 2% (currently 1.4%, sector average higher) as middle-market credit cycle proves more benign than feared, supporting NAV stability at or above $14/share [1]</w:t>
      </w:r>
    </w:p>
    <w:p>
      <w:pPr>
        <w:spacing w:before="40" w:after="40"/>
        <w:ind w:left="283"/>
      </w:pPr>
      <w:r>
        <w:rPr>
          <w:rFonts w:ascii="Calibri" w:hAnsi="Calibri"/>
          <w:b/>
          <w:color w:val="4A6B25"/>
          <w:sz w:val="20"/>
        </w:rPr>
        <w:t xml:space="preserve">3. </w:t>
      </w:r>
      <w:r>
        <w:rPr>
          <w:rFonts w:ascii="Calibri" w:hAnsi="Calibri"/>
          <w:b w:val="0"/>
          <w:color w:val="3A4A28"/>
          <w:sz w:val="20"/>
        </w:rPr>
        <w:t>Discount to NAV (currently 12%) narrowing toward par as credit fears abate, providing price appreciation alongside the 11.3% dividend yield for potential 20%+ total return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Middle-market credit deterioration — PE-backed borrower stress from margin compression, rate pressure, and potential AI disruption to portfolio companies (software, business services) could drive nonaccruals above 2% and force further NAV markdowns and dividend cuts [1]</w:t>
      </w:r>
    </w:p>
    <w:p>
      <w:pPr>
        <w:spacing w:before="40" w:after="40"/>
        <w:ind w:left="283"/>
      </w:pPr>
      <w:r>
        <w:rPr>
          <w:rFonts w:ascii="Calibri" w:hAnsi="Calibri"/>
          <w:b/>
          <w:color w:val="4A6B25"/>
          <w:sz w:val="20"/>
        </w:rPr>
        <w:t xml:space="preserve">2. </w:t>
      </w:r>
      <w:r>
        <w:rPr>
          <w:rFonts w:ascii="Calibri" w:hAnsi="Calibri"/>
          <w:b w:val="0"/>
          <w:color w:val="3A4A28"/>
          <w:sz w:val="20"/>
        </w:rPr>
        <w:t>NII erosion from rate cuts — floating-rate portfolio income declines mechanically as base rates fall, while the $0.33 dividend has zero NII cushion at current coverage of exactly 1.0x, creating a fragile payout structure [1][2]</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creates permanent fee drag (~1.375% base management fee + incentive fees) and AUM-growth conflicts of interest that limit shareholder-first capital allocation decisions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Middle-market private credit underwriting is fundamentally a relationship-driven, negotiation-intensive, and judgment-dependent business that AI cannot replace [3]. Loan origination flows through PE sponsor relationships built over decades (switching costs), complex credit structuring requires deep industry expertise and bespoke documentation, and workout/restructuring processes demand human negotiation skills. GBDC's 30-year proprietary credit performance database on middle-market companies provides a data moat that enhances rather than threatens the business. However, AI poses indirect risk through potential disruption to portfolio companies (software, business services, consulting exposures), and AI-enhanced competitors could eventually compress origination margins. Analysts do not flag AI as a direct business-model threat to BDCs. AI Opportunity (0/1): No quantified AI revenue or AI-driven cost savings disclosed. Internal credit analytics and underwriting tools may incorporate machine learning elements but no specific AI products are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Golub Capital BDC Q2 FY2026 Earnings — NII $0.33/share, GAAP net loss -$0.18/share, $132.3M unrealized losses, NAV $14.35 (down from $14.84), nonaccrual 1.4%, May 2026</w:t>
      </w:r>
    </w:p>
    <w:p>
      <w:pPr>
        <w:spacing w:before="20" w:after="20"/>
        <w:ind w:left="170"/>
      </w:pPr>
      <w:r>
        <w:rPr>
          <w:rFonts w:ascii="Calibri" w:hAnsi="Calibri"/>
          <w:b/>
          <w:color w:val="4A6B25"/>
          <w:sz w:val="15"/>
        </w:rPr>
        <w:t xml:space="preserve">2. </w:t>
      </w:r>
      <w:r>
        <w:rPr>
          <w:rFonts w:ascii="Calibri" w:hAnsi="Calibri"/>
          <w:b w:val="0"/>
          <w:color w:val="3A4A28"/>
          <w:sz w:val="17"/>
        </w:rPr>
        <w:t>Golub Capital BDC Dividend Reset — base distribution cut from $0.39 to $0.33 with supplemental variable policy, Seeking Alpha, February 2026</w:t>
      </w:r>
    </w:p>
    <w:p>
      <w:pPr>
        <w:spacing w:before="20" w:after="20"/>
        <w:ind w:left="170"/>
      </w:pPr>
      <w:r>
        <w:rPr>
          <w:rFonts w:ascii="Calibri" w:hAnsi="Calibri"/>
          <w:b/>
          <w:color w:val="4A6B25"/>
          <w:sz w:val="15"/>
        </w:rPr>
        <w:t xml:space="preserve">3. </w:t>
      </w:r>
      <w:r>
        <w:rPr>
          <w:rFonts w:ascii="Calibri" w:hAnsi="Calibri"/>
          <w:b w:val="0"/>
          <w:color w:val="3A4A28"/>
          <w:sz w:val="17"/>
        </w:rPr>
        <w:t>Golub Capital Corporate — David Golub (CEO since 2003), $75B AUM, Stanford Social Impact Lab, Glassdoor 3.9/5, 30+ year track record — Wikipedia, Golub Capital website,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Morningstar — GBDC stock price $12.65, dividend yield 11.29%, avg volume 1.39M, P/E 16.6,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