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GDDY</w:t>
      </w:r>
      <w:r>
        <w:rPr>
          <w:rFonts w:ascii="Calibri" w:hAnsi="Calibri"/>
          <w:b/>
          <w:color w:val="1A2010"/>
          <w:sz w:val="40"/>
        </w:rPr>
        <w:t xml:space="preserve">  GoDaddy Inc.</w:t>
      </w:r>
    </w:p>
    <w:p>
      <w:pPr>
        <w:spacing w:after="120"/>
      </w:pPr>
      <w:r>
        <w:rPr>
          <w:rFonts w:ascii="Calibri" w:hAnsi="Calibri"/>
          <w:b/>
          <w:color w:val="6E8450"/>
          <w:sz w:val="18"/>
        </w:rPr>
        <w:t>GROWTH SLEEVE · 2026-07-19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GoDaddy is the world's largest domain registrar and a web-services platform serving small businesses and entrepreneurs, operating through Applications &amp; Commerce (Websites + Marketing, Managed WordPress, GoDaddy Airo AI, Payments) and Core Platform (domains, hosting, security, SSL certificates) segments.</w:t>
      </w:r>
    </w:p>
    <w:p>
      <w:r>
        <w:rPr>
          <w:rFonts w:ascii="Calibri" w:hAnsi="Calibri"/>
          <w:b/>
          <w:color w:val="6E8450"/>
          <w:sz w:val="18"/>
        </w:rPr>
        <w:t>5,845 Employees · https://www.godaddy.com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GoDaddy grew revenue from $4.09B (2022) to $4.95B (2025) while layering Applications &amp; Commerce (Airo AI, payments, commerce) onto its Core Platform, with Applications &amp; Commerce revenue up 12% in Q1 2026 to $498.2M [1]. AI Deployment (2/2): GoDaddy Airo — an AI-powered site builder and, as of late 2025, agentic AI agents for small businesses — surpassed $10M in annualized bookings run-rate within weeks of its beta launch and is already monetizing through subscriptions and usage credits; Airo users attach a second product 30% faster than non-Airo customers, a quantified engagement lift [2]. Market Share (2/2): GoDaddy is 'the world's largest domain registrar, trusted by 20+ million customers,' a specific, sourced share-leadership claim [2]. Product Pipeline (2/2): GoDaddy expanded Airo.ai with six new named AI agents for small-business growth (announced 2025-2026) and reaffirmed 2026 guidance of $5.195-$5.275B revenue with normalized EBITDA margin above 33% and ~$1.8B free cash flow — specific, quantified forward visibility [1][2]. R&amp;D Intensity (0/1): No R&amp;D-as-%-of-revenue disclosure was found benchmarked against software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GoDaddy's stated mission — 'to empower entrepreneurs everywhere, making opportunity more inclusive for all' — is specific and purpose-driven rather than generic shareholder language, and connects directly to the company's SMB-serving product line [4]. Community Impact (1/2): GoDaddy publishes an annual Global Stakeholder Impact / sustainability report and maintains ESG disclosures on inclusive entrepreneurship, but this research did not surface specific charitable dollar figures or a named foundation with measurable community impact [7]. Employee Retention (1/2): Glassdoor shows a 3.9/5 rating across 3,420 reviews with 70% recommending the company and 76% CEO approval — solid, though weaker among entry-level and Sales employees, and no specific tenure/turnover data was found [5]. Insider Buying (0/2): Recent insider activity consists of small routine tax-related sales tied to the employee share purchase plan, with no meaningful net insider buying identified; the company's capital return is expressed instead through $3.7B in corporate share buybacks over three years, which is not a substitute for personal insider conviction under this checklist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(growth-weighted: PEG, ROE, and 5yr revenue CAGR at 2x). D/E of 1,621.6% breaches the 300% floor and scores 0 — GoDaddy's aggressive buyback program ($3.7B over three years, cutting diluted shares outstanding by 31%+) has shrunk book equity to a sliver against ~$4B of debt, a genuine leverage risk even though it is financed by strong FCF rather than distress [6]. ROE of 398.2% is a mechanical artifact of that thin equity base and scores capped at 1.0 (2x weight), as does Forward PEG of 0.68 (well below the 1.0 target, 2x weight) and Forward P/E of 8.8x (well below the 20x target). Revenue growth of 6.1% YoY (score 0.87) and ~6.6% 5yr CAGR (score 0.77, 2x weight) trail the 10% targets, and profit margin of 17.3% (score 0.87) is just under the 20% target. Liquidity is not a constraint: ~2.5M average daily volume at $94.35/share is ~$240M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GoDaddy has consistently pursued a genuine mission of empowering small-business entrepreneurs since 1997, and CEO Aman Bhutani is investing in Airo AI despite management's own acknowledgment that it 'will not materially move the needle this year' — a real near-term sacrifice for long-term relevance. But the balance sheet reflects heavy financial engineering (1,621.6% D/E from buybacks), a pattern Sinek treats with skepticism, and the transformation from domain registrar to AI-native platform remains incremental rather than existentially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GoDaddy's mission to 'empower entrepreneurs everywhere, making opportunity more inclusive for all' is genuine and has been pursued since the company's founding, but the brand's history of sexualized marketing controversies (reflected in the Inspire 'Sexually Explicit' negative attribution) sits in tension with the empowerment narrative, and the cause has not been tested through an existential crisis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 3.9/5 Glassdoor rating with 70% recommending the company and 76% CEO approval indicate adequate-to-good trust, though entry-level and Sales employees report a less favorable view, keeping this below a top score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GoDaddy operates in direct view of Wix, Squarespace (website building), and Shopify/Stripe (commerce and payments), and its AI-first Airo strategy is explicitly a response to AI-native competitive pressure rather than a retreat into legacy defensiveness — evidence of learning from rivals rather than simply trying to out-market them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GoDaddy has evolved from a pure domain registrar into an integrated Applications &amp; Commerce platform (payments, AI website building, marketing), a real but incremental evolution — the core domain/hosting business still anchors the company rather than having been abandoned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explicitly stated that Airo and other AI initiatives are 'early in their monetization journey' and 'not expected to materially move the needle this year,' yet continues investing and expanding the product (six new AI agents launched) rather than deferring spend to protect near-term margins — a real, if modest, long-term bet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GoDaddy is a cash-generative SMB platform trading at 8.8x forward P/E and 0.68 PEG against 6.1% revenue growth, with Q1 2026 free cash flow of $473.6M and full-year 2026 guidance of ~$1.8B FCF on $5.195-$5.275B revenue [1]. The Airo AI push is translating into real product-led growth: Applications &amp; Commerce revenue rose 12% in Q1 2026, Airo AI Builder crossed $10M in annualized bookings within weeks of beta launch, and Airo users attach a second product 30% faster than non-Airo customers — evidence the company is capturing rather than ceding the AI opportunity in SMB web presence [1][2]. With 20+ million customers and the largest domain registrar position globally, GoDaddy retains a durable, AI-resistant core (domain registration) funding an emerging AI-native growth layer [2].</w:t>
      </w:r>
    </w:p>
    <w:p>
      <w:pPr>
        <w:spacing w:after="120"/>
      </w:pPr>
      <w:r>
        <w:rPr>
          <w:rFonts w:ascii="Calibri" w:hAnsi="Calibri"/>
          <w:b w:val="0"/>
          <w:color w:val="3A4A28"/>
          <w:sz w:val="20"/>
        </w:rPr>
        <w:t>The bear case centers on balance-sheet leverage and modest growth. D/E of 1,621.6% reflects a capital structure built on $3.7B of buybacks against a nearly depleted equity base — not distress, since FCF comfortably covers debt service, but it leaves little cushion if cash generation deteriorates. Revenue growth of ~6% and a 5yr CAGR of ~6.6% are modest for a company still framed by some investors as a 'technology transformation' story, and a 2025 FTC settlement over data security failures (2019-2022 breaches) raises governance questions for a platform hosting millions of small-business websites [6]. Generic AI tools (ChatGPT, Wix AI, Shopify Magic, Squarespace) increasingly replicate website- and marketing-creation capabilities that were previously GoDaddy's differentiators, and management's own caution that Airo 'will not materially move the needle this year' tempers near-term upside from the AI narrative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Airo AI Builder and the newly launched AI agents scaling adoption across the 20M+ customer base, lifting Applications &amp; Commerce growth and cross-sell attach rates</w:t>
      </w:r>
    </w:p>
    <w:p>
      <w:pPr>
        <w:spacing w:before="40" w:after="40"/>
        <w:ind w:left="283"/>
      </w:pPr>
      <w:r>
        <w:rPr>
          <w:rFonts w:ascii="Calibri" w:hAnsi="Calibri"/>
          <w:b/>
          <w:color w:val="4A6B25"/>
          <w:sz w:val="20"/>
        </w:rPr>
        <w:t xml:space="preserve">2. </w:t>
      </w:r>
      <w:r>
        <w:rPr>
          <w:rFonts w:ascii="Calibri" w:hAnsi="Calibri"/>
          <w:b w:val="0"/>
          <w:color w:val="3A4A28"/>
          <w:sz w:val="20"/>
        </w:rPr>
        <w:t>2026 free cash flow of ~$1.8B at a sub-9x forward multiple sustaining aggressive buybacks and potential valuation re-rating</w:t>
      </w:r>
    </w:p>
    <w:p>
      <w:pPr>
        <w:spacing w:before="40" w:after="40"/>
        <w:ind w:left="283"/>
      </w:pPr>
      <w:r>
        <w:rPr>
          <w:rFonts w:ascii="Calibri" w:hAnsi="Calibri"/>
          <w:b/>
          <w:color w:val="4A6B25"/>
          <w:sz w:val="20"/>
        </w:rPr>
        <w:t xml:space="preserve">3. </w:t>
      </w:r>
      <w:r>
        <w:rPr>
          <w:rFonts w:ascii="Calibri" w:hAnsi="Calibri"/>
          <w:b w:val="0"/>
          <w:color w:val="3A4A28"/>
          <w:sz w:val="20"/>
        </w:rPr>
        <w:t>Normalized EBITDA margin expansion beyond 33% as AI-driven efficiency and platform scale continue to convert modest revenue growth into stronger earnings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(1,621.6% D/E) from a buyback-driven capital structure leaves minimal balance-sheet cushion if free cash flow deteriorates</w:t>
      </w:r>
    </w:p>
    <w:p>
      <w:pPr>
        <w:spacing w:before="40" w:after="40"/>
        <w:ind w:left="283"/>
      </w:pPr>
      <w:r>
        <w:rPr>
          <w:rFonts w:ascii="Calibri" w:hAnsi="Calibri"/>
          <w:b/>
          <w:color w:val="4A6B25"/>
          <w:sz w:val="20"/>
        </w:rPr>
        <w:t xml:space="preserve">2. </w:t>
      </w:r>
      <w:r>
        <w:rPr>
          <w:rFonts w:ascii="Calibri" w:hAnsi="Calibri"/>
          <w:b w:val="0"/>
          <w:color w:val="3A4A28"/>
          <w:sz w:val="20"/>
        </w:rPr>
        <w:t>The 2025 FTC settlement over data security failures (2019-2022 breaches) signals governance and cybersecurity weaknesses for a platform responsible for millions of small-business websites and customer data</w:t>
      </w:r>
    </w:p>
    <w:p>
      <w:pPr>
        <w:spacing w:before="40" w:after="40"/>
        <w:ind w:left="283"/>
      </w:pPr>
      <w:r>
        <w:rPr>
          <w:rFonts w:ascii="Calibri" w:hAnsi="Calibri"/>
          <w:b/>
          <w:color w:val="4A6B25"/>
          <w:sz w:val="20"/>
        </w:rPr>
        <w:t xml:space="preserve">3. </w:t>
      </w:r>
      <w:r>
        <w:rPr>
          <w:rFonts w:ascii="Calibri" w:hAnsi="Calibri"/>
          <w:b w:val="0"/>
          <w:color w:val="3A4A28"/>
          <w:sz w:val="20"/>
        </w:rPr>
        <w:t>Generic AI tools from well-capitalized competitors (Wix AI, Shopify Magic, and general-purpose LLMs) could commoditize the website/marketing-creation layer GoDaddy is counting on Airo to monetize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GoDaddy's Core Platform (domain registration, hosting, SSL) is largely PROTECTED — domains remain necessary internet infrastructure regardless of how a website is built, and registry/registrar functions are not something generic AI tools substitute for. The real exposure sits in Applications &amp; Commerce, where AI-native site builders and generic tools (ChatGPT, Wix AI, Shopify Magic) could erode GoDaddy's value-added-services premium; one analyst view frames the disruption risk as 'concentrated in a segment GoDaddy does not primarily serve,' and management itself is racing to own the AI layer for SMBs rather than cede it [2][3]. A 2025 FTC settlement over data security failures (2019-2022 breaches) is a separate governance risk that does not bear on AI substitution but is relevant context for platform trust [6]. AI Opportunity (1/1): Airo AI Builder surpassed $10M in annualized bookings run-rate within weeks of beta launch and drives a measurable 30% faster second-product attach rate — quantified AI-derived revenue and engagement lift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GoDaddy Q1 2026 Earnings Release and Call — revenue $1.27B, FCF $473.6M, Applications &amp; Commerce +12%, April-May 2026</w:t>
      </w:r>
    </w:p>
    <w:p>
      <w:pPr>
        <w:spacing w:before="20" w:after="20"/>
        <w:ind w:left="170"/>
      </w:pPr>
      <w:r>
        <w:rPr>
          <w:rFonts w:ascii="Calibri" w:hAnsi="Calibri"/>
          <w:b/>
          <w:color w:val="4A6B25"/>
          <w:sz w:val="15"/>
        </w:rPr>
        <w:t xml:space="preserve">2. </w:t>
      </w:r>
      <w:r>
        <w:rPr>
          <w:rFonts w:ascii="Calibri" w:hAnsi="Calibri"/>
          <w:b w:val="0"/>
          <w:color w:val="3A4A28"/>
          <w:sz w:val="17"/>
        </w:rPr>
        <w:t>GoDaddy Accelerates Airo.ai Momentum with New AI Agents for Small Business Growth, 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GoDaddy: The Market Is Too Pessimistic About AI, Seeking Alpha, 2026</w:t>
      </w:r>
    </w:p>
    <w:p>
      <w:pPr>
        <w:spacing w:before="20" w:after="20"/>
        <w:ind w:left="170"/>
      </w:pPr>
      <w:r>
        <w:rPr>
          <w:rFonts w:ascii="Calibri" w:hAnsi="Calibri"/>
          <w:b/>
          <w:color w:val="4A6B25"/>
          <w:sz w:val="15"/>
        </w:rPr>
        <w:t xml:space="preserve">4. </w:t>
      </w:r>
      <w:r>
        <w:rPr>
          <w:rFonts w:ascii="Calibri" w:hAnsi="Calibri"/>
          <w:b w:val="0"/>
          <w:color w:val="3A4A28"/>
          <w:sz w:val="17"/>
        </w:rPr>
        <w:t>GoDaddy — Mission and corporate overview, godaddy.com / aboutus.godaddy.net</w:t>
      </w:r>
    </w:p>
    <w:p>
      <w:pPr>
        <w:spacing w:before="20" w:after="20"/>
        <w:ind w:left="170"/>
      </w:pPr>
      <w:r>
        <w:rPr>
          <w:rFonts w:ascii="Calibri" w:hAnsi="Calibri"/>
          <w:b/>
          <w:color w:val="4A6B25"/>
          <w:sz w:val="15"/>
        </w:rPr>
        <w:t xml:space="preserve">5. </w:t>
      </w:r>
      <w:r>
        <w:rPr>
          <w:rFonts w:ascii="Calibri" w:hAnsi="Calibri"/>
          <w:b w:val="0"/>
          <w:color w:val="3A4A28"/>
          <w:sz w:val="17"/>
        </w:rPr>
        <w:t>Working at GoDaddy | Glassdoor,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GoDaddy Inc. insider transaction filings and FTC data-security settlement order, 2025-2026</w:t>
      </w:r>
    </w:p>
    <w:p>
      <w:pPr>
        <w:spacing w:before="20" w:after="20"/>
        <w:ind w:left="170"/>
      </w:pPr>
      <w:r>
        <w:rPr>
          <w:rFonts w:ascii="Calibri" w:hAnsi="Calibri"/>
          <w:b/>
          <w:color w:val="4A6B25"/>
          <w:sz w:val="15"/>
        </w:rPr>
        <w:t xml:space="preserve">7. </w:t>
      </w:r>
      <w:r>
        <w:rPr>
          <w:rFonts w:ascii="Calibri" w:hAnsi="Calibri"/>
          <w:b w:val="0"/>
          <w:color w:val="3A4A28"/>
          <w:sz w:val="17"/>
        </w:rPr>
        <w:t>GoDaddy 2025 Global Stakeholder Impact Report, aboutus.godaddy.net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