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GDS</w:t>
      </w:r>
      <w:r>
        <w:rPr>
          <w:rFonts w:ascii="Calibri" w:hAnsi="Calibri"/>
          <w:b/>
          <w:color w:val="1A2010"/>
          <w:sz w:val="40"/>
        </w:rPr>
        <w:t xml:space="preserve">  GDS Holdings Limited</w:t>
      </w:r>
    </w:p>
    <w:p>
      <w:pPr>
        <w:spacing w:after="120"/>
      </w:pPr>
      <w:r>
        <w:rPr>
          <w:rFonts w:ascii="Calibri" w:hAnsi="Calibri"/>
          <w:b/>
          <w:color w:val="6E8450"/>
          <w:sz w:val="18"/>
        </w:rPr>
        <w:t>GROWTH SLEEVE · 2026-07-15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Information Technology Services · NASDAQ · China</w:t>
      </w:r>
    </w:p>
    <w:p>
      <w:pPr>
        <w:spacing w:after="80"/>
      </w:pPr>
      <w:r>
        <w:rPr>
          <w:rFonts w:ascii="Calibri" w:hAnsi="Calibri"/>
          <w:b w:val="0"/>
          <w:color w:val="3A4A28"/>
          <w:sz w:val="20"/>
        </w:rPr>
        <w:t>GDS Holdings Limited is a leading developer and operator of high-performance data centers in China and Southeast Asia. Founded in 2001 by CEO William Huang, the company provides colocation, managed hosting, and cloud services to hyperscale cloud providers, large internet companies, financial institutions, and enterprises. GDS operates Tier 1 data center campuses across major Chinese cities and is expanding into Malaysia, Indonesia, and Singapore to capture AI-driven demand.</w:t>
      </w:r>
    </w:p>
    <w:p>
      <w:r>
        <w:rPr>
          <w:rFonts w:ascii="Calibri" w:hAnsi="Calibri"/>
          <w:b/>
          <w:color w:val="6E8450"/>
          <w:sz w:val="18"/>
        </w:rPr>
        <w:t>https://www.gds-services.com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GDS has executed a significant geographic expansion from China-only operations to a pan-Asian data center platform, entering Southeast Asian markets (Malaysia, Indonesia, Singapore) in the past 3 years [1]. Total bookings reached 1.8 gigawatts by Q1 2026 with 340MW in new bookings year-to-date, representing substantial capacity scaling. Revenue grew from ~RMB 5.6B in 2020 to RMB 11.4B in 2025, nearly doubling in 5 years. AI Deployment (1/2): GDS enables AI deployments through its data center infrastructure but does not directly deploy AI products. The company's Q1 2026 earnings call highlighted 'Strong Growth Driven by AI Demand,' with hyperscale campuses specifically designed for AI workloads [1]. No quantified internal AI efficiency gains reported. Market Share (2/2): Leading independent data center operator in China with Tier 1 market positions in major cities. The company's hyperscale campus model has attracted relationships with all major Chinese cloud providers and global internet companies [1]. Product Pipeline (2/2): GDS targets adding 500-800MW annually over the next three years with planned investments of RMB 30-50 billion in new data center development [1]. Specific capacity expansion targets with timelines provide clear revenue visibility. R&amp;D Intensity (0/1): As a data center operator/developer, GDS invests primarily in capital expenditure rather than R&amp;D. No evidence of above-average R&amp;D spending relative to data center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GDS's purpose centers on providing high-performance, reliable data center infrastructure to enable digital transformation. Clear and functional but not distinctive — the mission is interchangeable with any data center operator globally. No deeper purpose articulated beyond infrastructure provision [3]. Community Impact (0/2): While GDS published a 2024 ESG report highlighting carbon neutrality goals by 2030, 40% renewable energy usage, and green building compliance at 87% of facilities [2], these are environmental compliance measures rather than charitable community investment. No evidence of specific foundation, charitable programs, or community development initiatives. Employee Retention (1/2): Management team average tenure of 12.9 years and board average tenure of 9.4 years indicate strong leadership stability [3]. Founder CEO William Huang has led the company for 22+ years, providing exceptional continuity. However, no employee-level retention data or voluntary turnover metrics are available for the broader organization. Insider Buying (0/2): No specific insider buying data identified in the last 12 months. William Huang remains a significant shareholder as founder but recent transaction activity is not disclosed.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Q1 2026 revenue grew 23.6% YoY to RMB 3,367.1M (US$488.1M) with gross profit surging 75.5% YoY [1]. TTM revenue of US$1.75B reflects 13.8% growth. Profit margin of 23.48% is strong for a capital-intensive data center operator [4]. D/E of 145% is elevated reflecting data center construction financing but within manageable range for the sector. ROE of 10.01% is moderate, below the 15% target but reflecting the asset-heavy business model. The critical weakness is the Forward P/E of 80.02, which scores 0 — this reflects a significant earnings step-down from a one-time gain in trailing earnings (EPS of $1.92 TTM but projected to normalize significantly lower) [4]. Adjusted EBITDA margin of 47.3% in 2025 demonstrates strong operational efficiency. Liquidity check passes: avg volume 2,357,320 x $32.07 = $75.6M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GDS shows mixed infinite game characteristics. Founder CEO William Huang's 22-year tenure provides exceptional leadership continuity, and the company's geographic expansion from China to Southeast Asia demonstrates strategic adaptability. However, the company lacks a distinctive Just Cause beyond infrastructure provision, shows no evidence of organizational trust-building or cultural differentiation, and operates with a fundamentally capital-deployment-driven strategy rather than a purpose-driven one.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GDS has a business purpose around enabling digital transformation through data center infrastructure, but it reads as a commercial mission rather than a Just Cause [3]. 'Providing high-performance data centers' is functional and interchangeable with any competitor. The company does not articulate a vision of a future state that people would sacrifice to advance. Sinek would note that GDS is defined by what it does (build data centers) rather than why it does it.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Management team average tenure of 12.9 years and board tenure of 9.4 years indicate strong leadership stability and reasonable organizational trust [3]. Founder CEO William Huang's 22-year tenure is exceptional. However, no evidence of employee empowerment programs, cultural differentiation, or organizational practices that create psychological safety. The company operates in China where labor market dynamics differ from Western frameworks.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GDS acknowledging competitors' strengths or using competitive pressure for self-improvement. The company does not publicly discuss competitive dynamics in a way that suggests infinite competitive mindset. Strategy appears focused on capacity expansion and customer acquisition rather than competitive learning.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GDS has evolved from a China-only data center operator to a pan-Asian platform, entering Southeast Asian markets (Malaysia, Indonesia, Singapore) in recent years [1]. This represents meaningful geographic and market diversification. However, the core business model remains fundamentally unchanged — build and operate data centers. The Southeast Asia expansion is incremental evolution, not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GDS has committed RMB 30-50 billion in planned data center investments over three years, a substantial capital bet on continued AI demand growth [1]. The Southeast Asia expansion required entering new regulatory environments and committing capital in unproven markets. These demonstrate willingness to invest for long-term positioning. However, these decisions align with industry consensus rather than contrarian courage — every data center operator is expanding for AI.</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GDS Holdings is the leading independent data center operator in China and a growing force in Southeast Asia, directly benefiting from surging AI infrastructure demand. Q1 2026 revenue grew 23.6% YoY to RMB 3,367.1M (US$488M) with gross profit surging 75.5% [1]. Total bookings reached 1.8GW with 340MW in new bookings year-to-date, and the company targets 500-800MW annual additions with RMB 30-50B in planned investment [1]. The 2024 ESG report highlights 40% renewable energy usage and a carbon neutrality commitment by 2030 [2]. With adjusted EBITDA margins of 47.3%, founder-led management (CEO William Huang, 22-year tenure), and the structural tailwind of AI requiring ever-more data center capacity, GDS is well-positioned as a picks-and-shovels play on China's AI infrastructure buildout.</w:t>
      </w:r>
    </w:p>
    <w:p>
      <w:pPr>
        <w:spacing w:after="120"/>
      </w:pPr>
      <w:r>
        <w:rPr>
          <w:rFonts w:ascii="Calibri" w:hAnsi="Calibri"/>
          <w:b w:val="0"/>
          <w:color w:val="3A4A28"/>
          <w:sz w:val="20"/>
        </w:rPr>
        <w:t>The primary concerns are valuation and structural risks. Forward P/E of 80.02 is extreme and reflects a significant normalization of trailing earnings — Q1 2026 EPS of RMB 1.32 dramatically beat the Wall Street consensus of -RMB 0.03, suggesting the trailing EPS includes one-time gains that won't recur [4]. D/E of 145% reflects the capital-intensive nature of data center development but creates financial fragility if demand growth slows. The 9.38% YoY increase in shares outstanding indicates ongoing dilution [4]. China-specific risks include regulatory uncertainty around data sovereignty rules, potential geopolitical tensions affecting access to advanced semiconductor equipment for AI infrastructure, and competition from state-backed rivals. The stock has declined 5.4% over the past 52 weeks despite strong operational results, suggesting the market is pricing in these structural risks.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demand acceleration driving 500-800MW annual capacity additions with RMB 30-50B investment, creating clear multi-year revenue visibility from hyperscale customer commitments</w:t>
      </w:r>
    </w:p>
    <w:p>
      <w:pPr>
        <w:spacing w:before="40" w:after="40"/>
        <w:ind w:left="283"/>
      </w:pPr>
      <w:r>
        <w:rPr>
          <w:rFonts w:ascii="Calibri" w:hAnsi="Calibri"/>
          <w:b/>
          <w:color w:val="4A6B25"/>
          <w:sz w:val="20"/>
        </w:rPr>
        <w:t xml:space="preserve">2. </w:t>
      </w:r>
      <w:r>
        <w:rPr>
          <w:rFonts w:ascii="Calibri" w:hAnsi="Calibri"/>
          <w:b w:val="0"/>
          <w:color w:val="3A4A28"/>
          <w:sz w:val="20"/>
        </w:rPr>
        <w:t>Southeast Asia geographic expansion into Malaysia, Indonesia, and Singapore diversifying away from China regulatory concentration and accessing new high-growth markets</w:t>
      </w:r>
    </w:p>
    <w:p>
      <w:pPr>
        <w:spacing w:before="40" w:after="40"/>
        <w:ind w:left="283"/>
      </w:pPr>
      <w:r>
        <w:rPr>
          <w:rFonts w:ascii="Calibri" w:hAnsi="Calibri"/>
          <w:b/>
          <w:color w:val="4A6B25"/>
          <w:sz w:val="20"/>
        </w:rPr>
        <w:t xml:space="preserve">3. </w:t>
      </w:r>
      <w:r>
        <w:rPr>
          <w:rFonts w:ascii="Calibri" w:hAnsi="Calibri"/>
          <w:b w:val="0"/>
          <w:color w:val="3A4A28"/>
          <w:sz w:val="20"/>
        </w:rPr>
        <w:t>Gross profit growth of 75.5% in Q1 2026 suggests operating leverage inflection as existing capacity ramps to higher utilization rates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 of 80.02 indicates trailing earnings included significant one-time gains that will normalize, creating potential multiple compression when reported earnings decline to sustainable levels</w:t>
      </w:r>
    </w:p>
    <w:p>
      <w:pPr>
        <w:spacing w:before="40" w:after="40"/>
        <w:ind w:left="283"/>
      </w:pPr>
      <w:r>
        <w:rPr>
          <w:rFonts w:ascii="Calibri" w:hAnsi="Calibri"/>
          <w:b/>
          <w:color w:val="4A6B25"/>
          <w:sz w:val="20"/>
        </w:rPr>
        <w:t xml:space="preserve">2. </w:t>
      </w:r>
      <w:r>
        <w:rPr>
          <w:rFonts w:ascii="Calibri" w:hAnsi="Calibri"/>
          <w:b w:val="0"/>
          <w:color w:val="3A4A28"/>
          <w:sz w:val="20"/>
        </w:rPr>
        <w:t>China regulatory and geopolitical risks including data sovereignty restrictions, potential US-China technology export controls affecting AI infrastructure equipment, and competition from state-backed data center operators</w:t>
      </w:r>
    </w:p>
    <w:p>
      <w:pPr>
        <w:spacing w:before="40" w:after="40"/>
        <w:ind w:left="283"/>
      </w:pPr>
      <w:r>
        <w:rPr>
          <w:rFonts w:ascii="Calibri" w:hAnsi="Calibri"/>
          <w:b/>
          <w:color w:val="4A6B25"/>
          <w:sz w:val="20"/>
        </w:rPr>
        <w:t xml:space="preserve">3. </w:t>
      </w:r>
      <w:r>
        <w:rPr>
          <w:rFonts w:ascii="Calibri" w:hAnsi="Calibri"/>
          <w:b w:val="0"/>
          <w:color w:val="3A4A28"/>
          <w:sz w:val="20"/>
        </w:rPr>
        <w:t>D/E of 145% and 9.38% annual share dilution create financial structure risk — if AI demand growth disappoints, the debt burden becomes problematic with limited equity cushion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GDS is data center infrastructure — the physical foundation on which AI runs. AI cannot displace data centers; it directly INCREASES demand for them. GDS's Q1 2026 earnings explicitly attributed 'Strong Growth Driven by AI Demand and Strategic Investments,' with hyperscale campus bookings reaching 1.8GW driven by cloud providers expanding AI compute capacity [1]. The business involves physical-world operations (land acquisition, power procurement, construction, cooling systems) that AI structurally cannot substitute. Regulatory requirements for data sovereignty in China and Southeast Asia create additional moats. Every major AI model training run requires precisely the data center capacity GDS provides. AI Opportunity (1/1): GDS generates meaningful revenue directly enabled by AI demand. The 340MW in new bookings year-to-date in 2026 are substantially driven by AI workload requirements from hyperscale customers [1]. The company's planned RMB 30-50B investment in new capacity over three years is justified by AI-driven demand projections.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GDS Holdings Q1 2026 Earnings Release — investors.gds-services.com, May 2026; Q1 2026 Earnings Call Transcript — GuruFocus/Sahm Capital, May 2026</w:t>
      </w:r>
    </w:p>
    <w:p>
      <w:pPr>
        <w:spacing w:before="20" w:after="20"/>
        <w:ind w:left="170"/>
      </w:pPr>
      <w:r>
        <w:rPr>
          <w:rFonts w:ascii="Calibri" w:hAnsi="Calibri"/>
          <w:b/>
          <w:color w:val="4A6B25"/>
          <w:sz w:val="15"/>
        </w:rPr>
        <w:t xml:space="preserve">2. </w:t>
      </w:r>
      <w:r>
        <w:rPr>
          <w:rFonts w:ascii="Calibri" w:hAnsi="Calibri"/>
          <w:b w:val="0"/>
          <w:color w:val="3A4A28"/>
          <w:sz w:val="17"/>
        </w:rPr>
        <w:t>GDS Holdings 2024 ESG Report — Carbon Neutrality Commitment, Renewable Energy Usage, MSCI Rating Upgrade to A, published 2025</w:t>
      </w:r>
    </w:p>
    <w:p>
      <w:pPr>
        <w:spacing w:before="20" w:after="20"/>
        <w:ind w:left="170"/>
      </w:pPr>
      <w:r>
        <w:rPr>
          <w:rFonts w:ascii="Calibri" w:hAnsi="Calibri"/>
          <w:b/>
          <w:color w:val="4A6B25"/>
          <w:sz w:val="15"/>
        </w:rPr>
        <w:t xml:space="preserve">3. </w:t>
      </w:r>
      <w:r>
        <w:rPr>
          <w:rFonts w:ascii="Calibri" w:hAnsi="Calibri"/>
          <w:b w:val="0"/>
          <w:color w:val="3A4A28"/>
          <w:sz w:val="17"/>
        </w:rPr>
        <w:t>GDS Holdings Leadership Analysis — Simply Wall St, Management Tenure Data,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GDS Key Statistics, Financial Ratios, and Market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