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GDYN</w:t>
      </w:r>
      <w:r>
        <w:rPr>
          <w:rFonts w:ascii="Calibri" w:hAnsi="Calibri"/>
          <w:b/>
          <w:color w:val="1A2010"/>
          <w:sz w:val="40"/>
        </w:rPr>
        <w:t xml:space="preserve">  Grid Dynamics Holdings, Inc.</w:t>
      </w:r>
    </w:p>
    <w:p>
      <w:pPr>
        <w:spacing w:after="120"/>
      </w:pPr>
      <w:r>
        <w:rPr>
          <w:rFonts w:ascii="Calibri" w:hAnsi="Calibri"/>
          <w:b/>
          <w:color w:val="6E8450"/>
          <w:sz w:val="18"/>
        </w:rPr>
        <w:t>GROWTH SLEEVE · 2026-07-29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Grid Dynamics is an enterprise AI and digital transformation services company providing custom AI solutions, cloud platform engineering, and digital engagement services to Fortune 1000 enterprises. AI revenue represents 29.3% of total revenue (Q1 2026) at over $90M annually, with offerings spanning agentic AI platforms, AI-readiness consulting, and the proprietary GAIN framework for AI development. CEO Leonard Livschitz has 30+ years of tech industry experience. Serves retail, technology, finance, healthcare, and manufacturing verticals.</w:t>
      </w:r>
    </w:p>
    <w:p>
      <w:r>
        <w:rPr>
          <w:rFonts w:ascii="Calibri" w:hAnsi="Calibri"/>
          <w:b/>
          <w:color w:val="6E8450"/>
          <w:sz w:val="18"/>
        </w:rPr>
        <w:t>4,600 Employees · https://www.griddynamics.com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Grid Dynamics delivered record 2025 revenue of $411.8M, up 17.5% YoY, with AI revenue surging 30% YoY to over $90M, representing 25% of total revenue by Q4 2025 and climbing to 29.3% by Q1 2026 [1][2][3]. The company has successfully pivoted from traditional IT consulting to AI-focused services. AI Deployment (2/2): AI is core to the business — the company launched an agentic AI platform with Temporal Technologies, completed over 100 successful AI implementations, developed the proprietary GAIN framework for AI software development, and increased partnership-driven revenue to 18% of total under CTO Dr. Eugene Steinberg's leadership [3][4]. Market Share (1/2): Grid Dynamics competes in a fragmented IT services market against Accenture, EPAM, and Globant; it holds niche positioning in enterprise AI consulting but remains a relatively small player [1]. Product Pipeline (1/2): 2026 revenue guidance of $435-465M (9.3% growth at midpoint) shows deceleration from 17.5% in 2025, but the shift toward recurring platform revenue and hyperscaler partnerships provides visibility [2]. R&amp;D Intensity (1/1): Significant investment in proprietary AI platforms, R&amp;D labs, and IP-driven solutions shifting from labor-scaled to IP-scaled growth model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Grid Dynamics' stated purpose — 'mastery of orchestrating complexity' and 'building the robust, production-grade infrastructure required for the Agentic AI age' — is a marketing-oriented description of services rather than a mission or cause [4]. It is interchangeable with dozens of IT services companies and does not articulate why the company exists beyond serving clients. Community Impact (0/2): No specific charitable programs, foundation, or community investment with quantified dollar amounts were identified. Employee Retention (0/2): Glassdoor reviews reveal concerning leadership culture — employee complaints cite micromanagement, belittling behavior on team calls, and perceived cultural favoritism; the executive team receives a C- rating in the bottom 30% of similarly sized companies [5]. Insider Buying (0/2): No evidence of meaningful net insider buying by executives in the last 12 months. CEO Livschitz has led since 2014 but no open-market purchase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Grid Dynamics maintains a fortress balance sheet with D/E of just 3% and net cash of $325M ($342M cash against $17M debt), providing substantial downside protection against a ~$540M market cap [6]. Forward P/E of 12.23 is attractive for a company with 17.5% revenue growth and 30% AI revenue growth [6]. However, ROE of 1.82% and profit margin of 2.35% are severely depressed, reflecting that the AI pivot is consuming margins faster than generating returns [6]. Gross margin of 34.6% is adequate for IT services. Revenue growth of 17.5% in 2025 was strong, and the five-year CAGR of approximately 30% (from $111M in 2020 to $412M in 2025) reflects rapid but partly acquisition-influenced scaling [1]. The 2026 guidance deceleration to 9.3% at midpoint is a concern. Liquidity cleared: ~2.16M avg volume x ~$7.50 = $16.2M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Grid Dynamics has made sound strategic decisions in pivoting toward AI services, but the company lacks a genuine Just Cause, suffers from concerning leadership culture issues (Glassdoor C- executive rating), and has not demonstrated the organizational trust or purpose-driven decision-making that Sinek's infinite game framework requires. The AI pivot is driven by market opportunity rather than a deeper sense of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Grid Dynamics has no articulated Just Cause beyond serving clients and capturing AI market opportunity [4]. CEO Livschitz describes the company's value proposition in purely operational terms — 'mastery of orchestrating complexity' and 'specialized capability that unifies strategic advisory expertise with technical prowess.' This is a business strategy, not a vision of a future state so appealing that people would sacrifice to advance it. The company exists to generate revenue from enterprise AI consulting,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with executive team receiving a C- rating in the bottom 30% of comparable companies [5]. Employee complaints specifically cite micromanagement, belittling behavior on team calls, and perceived cultural favoritism — all clear indicators of fear-based management rather than Sinek's Circle of Safety. For a professional services company where talent IS the product, this is a material concern that could drive attrition and quality degradation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Grid Dynamics competes against much larger firms (Accenture, EPAM, Globant) and positions itself as a specialist AI integrator rather than trying to beat them at scale [1]. CEO Livschitz's acknowledgment that 'disruption will play out over a decade' and the strategic focus on differentiation through proprietary AI platforms rather than competitive destruction reflects an infinite competitive mindset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shift from traditional IT consulting to AI-first services, from labor-scaled to IP-scaled delivery, and the development of proprietary platforms (agentic AI with Temporal Technologies, GAIN framework) demonstrate meaningful flexibility [3][4]. Revenue composition is actively evolving with AI growing from 0% to 29.3% of revenue. However, this is an incremental evolution of the existing services model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Livschitz has led the company through its public listing, Ukraine-related workforce disruption, and the strategic pivot to AI-first services, requiring sustained leadership conviction [1]. The investment in proprietary AI platforms while margins compress (profit margin 2.35%) shows willingness to sacrifice near-term profitability for long-term capability [6]. However, the margin compression and revenue deceleration raise questions about whether the investment is generating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Grid Dynamics is an AI-focused IT services company trading at a steep discount with net cash of $325M representing over 60% of its ~$540M market cap, providing substantial balance sheet cushion [6]. The company delivered record 2025 revenue of $411.8M (+17.5% YoY) with AI revenue surging 30% to $90M+, now representing 29.3% of Q1 2026 revenue and growing rapidly [1][3]. The strategic pivot from labor-scaled to IP-scaled delivery through proprietary AI platforms (agentic AI with Temporal Technologies, GAIN framework) positions Grid Dynamics to capture enterprise AI budgets as adoption accelerates [3][4]. Forward P/E of 12.23 is attractive for a company with this growth profile and balance sheet strength. Over 100 successful AI implementations and hyperscaler partnerships provide credibility [3].</w:t>
      </w:r>
    </w:p>
    <w:p>
      <w:pPr>
        <w:spacing w:after="120"/>
      </w:pPr>
      <w:r>
        <w:rPr>
          <w:rFonts w:ascii="Calibri" w:hAnsi="Calibri"/>
          <w:b w:val="0"/>
          <w:color w:val="3A4A28"/>
          <w:sz w:val="20"/>
        </w:rPr>
        <w:t>The bear case centers on profitability and culture. Profit margin of 2.35% and ROE of 1.82% suggest the AI pivot is consuming margins faster than generating returns — the company is winning AI revenue but not yet proving it can deliver AI profitably [6]. Revenue growth decelerated sharply from 17.5% in 2025 to guided 9.3% in 2026, raising questions about sustainable demand [2]. Glassdoor reviews reveal a troubled leadership culture with C- executive team ratings, micromanagement concerns, and cultural favoritism claims — critical weaknesses for a talent-dependent services business where employee quality IS the product [5]. Competition from larger players (Accenture, EPAM, Globant) with deeper client relationships and greater scale threatens market share in enterprise AI consulting. The company's significant Eastern European workforce creates ongoing geopolitical risk. The Inspiration score of just 1 reflects the absence of mission-driven purpose beyond commercial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revenue growth trajectory from $90M+ (29.3% of Q1 2026 revenue) continuing to scale as enterprise AI budgets expand and proprietary platforms gain traction [1][3]</w:t>
      </w:r>
    </w:p>
    <w:p>
      <w:pPr>
        <w:spacing w:before="40" w:after="40"/>
        <w:ind w:left="283"/>
      </w:pPr>
      <w:r>
        <w:rPr>
          <w:rFonts w:ascii="Calibri" w:hAnsi="Calibri"/>
          <w:b/>
          <w:color w:val="4A6B25"/>
          <w:sz w:val="20"/>
        </w:rPr>
        <w:t xml:space="preserve">2. </w:t>
      </w:r>
      <w:r>
        <w:rPr>
          <w:rFonts w:ascii="Calibri" w:hAnsi="Calibri"/>
          <w:b w:val="0"/>
          <w:color w:val="3A4A28"/>
          <w:sz w:val="20"/>
        </w:rPr>
        <w:t>Margin recovery as IP-scaled platforms replace labor-intensive delivery, potentially restoring profitability from the current 2.35% profit margin toward IT services industry norms of 8-12% [4]</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current deep discount — net cash of $325M represents over 60% of market cap, providing downside protection and potential catalyst via buybacks or strategic acquisitions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crisis — 2.35% profit margin and 1.82% ROE suggest the AI pivot may be value-destructive if margins do not recover as IP-scaled delivery replaces labor-intensive work [6]</w:t>
      </w:r>
    </w:p>
    <w:p>
      <w:pPr>
        <w:spacing w:before="40" w:after="40"/>
        <w:ind w:left="283"/>
      </w:pPr>
      <w:r>
        <w:rPr>
          <w:rFonts w:ascii="Calibri" w:hAnsi="Calibri"/>
          <w:b/>
          <w:color w:val="4A6B25"/>
          <w:sz w:val="20"/>
        </w:rPr>
        <w:t xml:space="preserve">2. </w:t>
      </w:r>
      <w:r>
        <w:rPr>
          <w:rFonts w:ascii="Calibri" w:hAnsi="Calibri"/>
          <w:b w:val="0"/>
          <w:color w:val="3A4A28"/>
          <w:sz w:val="20"/>
        </w:rPr>
        <w:t>Leadership culture weakness — Glassdoor C- executive rating with complaints about micromanagement and belittling behavior threaten talent retention in a people-dependent business [5]</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17.5% to guided 9.3% in 2026, with risk that enterprise AI consulting commoditizes as larger competitors scale their own AI practices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Grid Dynamics occupies a dual position — the company generates $90M+ in AI revenue (29.3% of Q1 2026 revenue) and serves as the AI integration layer that enterprises need, but its traditional body-shop model of billing for engineering hours is directly threatened by AI coding assistants and productivity tools that reduce the need for human developers [1][3]. The shift from labor-scaled to IP-scaled delivery through proprietary platforms (agentic AI with Temporal Technologies, GAIN framework) is the correct strategic response, but the transition is consuming margins — profit margin of 2.35% and ROE of 1.82% suggest the pivot is not yet value-accretive [4][6]. Revenue growth deceleration from 17.5% to guided 9.3% may partly reflect AI-driven pricing pressure on traditional engagements. AI Opportunity (1/1): Grid Dynamics generates meaningful AI revenue — over $90M annually, growing 30% YoY, representing 29.3% of Q1 2026 revenue, with 100+ successful AI implementations and proprietary platforms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Grid Dynamics Q4 and Full Year 2025 Earnings — $411.8M record revenue (+17.5% YoY), $90M+ AI revenue (+30% YoY), griddynamics.com, April 2026</w:t>
      </w:r>
    </w:p>
    <w:p>
      <w:pPr>
        <w:spacing w:before="20" w:after="20"/>
        <w:ind w:left="170"/>
      </w:pPr>
      <w:r>
        <w:rPr>
          <w:rFonts w:ascii="Calibri" w:hAnsi="Calibri"/>
          <w:b/>
          <w:color w:val="4A6B25"/>
          <w:sz w:val="15"/>
        </w:rPr>
        <w:t xml:space="preserve">2. </w:t>
      </w:r>
      <w:r>
        <w:rPr>
          <w:rFonts w:ascii="Calibri" w:hAnsi="Calibri"/>
          <w:b w:val="0"/>
          <w:color w:val="3A4A28"/>
          <w:sz w:val="17"/>
        </w:rPr>
        <w:t>Grid Dynamics 2026 Revenue Guidance — $435-465M (9.3% growth at midpoint), Seeking Alpha, April 2026</w:t>
      </w:r>
    </w:p>
    <w:p>
      <w:pPr>
        <w:spacing w:before="20" w:after="20"/>
        <w:ind w:left="170"/>
      </w:pPr>
      <w:r>
        <w:rPr>
          <w:rFonts w:ascii="Calibri" w:hAnsi="Calibri"/>
          <w:b/>
          <w:color w:val="4A6B25"/>
          <w:sz w:val="15"/>
        </w:rPr>
        <w:t xml:space="preserve">3. </w:t>
      </w:r>
      <w:r>
        <w:rPr>
          <w:rFonts w:ascii="Calibri" w:hAnsi="Calibri"/>
          <w:b w:val="0"/>
          <w:color w:val="3A4A28"/>
          <w:sz w:val="17"/>
        </w:rPr>
        <w:t>Grid Dynamics Q1 2026 Results — AI revenue mix rises to 29.3%, continued revenue growth, griddynamics.com, July 2026</w:t>
      </w:r>
    </w:p>
    <w:p>
      <w:pPr>
        <w:spacing w:before="20" w:after="20"/>
        <w:ind w:left="170"/>
      </w:pPr>
      <w:r>
        <w:rPr>
          <w:rFonts w:ascii="Calibri" w:hAnsi="Calibri"/>
          <w:b/>
          <w:color w:val="4A6B25"/>
          <w:sz w:val="15"/>
        </w:rPr>
        <w:t xml:space="preserve">4. </w:t>
      </w:r>
      <w:r>
        <w:rPr>
          <w:rFonts w:ascii="Calibri" w:hAnsi="Calibri"/>
          <w:b w:val="0"/>
          <w:color w:val="3A4A28"/>
          <w:sz w:val="17"/>
        </w:rPr>
        <w:t>Grid Dynamics Leadership, AI Strategy, and GAIN Framework — CEO Livschitz, CTO Steinberg, griddynamics.com,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Grid Dynamics Employee Reviews, C- executive team rating,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GDYN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