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GFAI</w:t>
      </w:r>
      <w:r>
        <w:rPr>
          <w:rFonts w:ascii="Calibri" w:hAnsi="Calibri"/>
          <w:b/>
          <w:color w:val="1A2010"/>
          <w:sz w:val="40"/>
        </w:rPr>
        <w:t xml:space="preserve">  Guardforce AI Co., Limited</w:t>
      </w:r>
    </w:p>
    <w:p>
      <w:pPr>
        <w:spacing w:after="120"/>
      </w:pPr>
      <w:r>
        <w:rPr>
          <w:rFonts w:ascii="Calibri" w:hAnsi="Calibri"/>
          <w:b/>
          <w:color w:val="6E8450"/>
          <w:sz w:val="18"/>
        </w:rPr>
        <w:t>GROWTH SLEEVE · 2026-07-15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Security &amp; Protection Services · NASDAQ · Thailand</w:t>
      </w:r>
    </w:p>
    <w:p>
      <w:pPr>
        <w:spacing w:after="80"/>
      </w:pPr>
      <w:r>
        <w:rPr>
          <w:rFonts w:ascii="Calibri" w:hAnsi="Calibri"/>
          <w:b w:val="0"/>
          <w:color w:val="3A4A28"/>
          <w:sz w:val="20"/>
        </w:rPr>
        <w:t>Guardforce AI Co., Limited is an AI-driven technology company with over 43 years of history in secured logistics and retail services across Thailand and the Asia Pacific region. The company operates through two segments: legacy Secured Logistics (86.6% of revenue, primarily cash-in-transit and ATM management) and AI, Robotics-as-a-Service &amp; Smart Solutions (13.4% of revenue, including AI-enabled robots, the DVGO AI agent platform, and the Intelligent Cloud Platform). In March 2026, Guardforce acquired pediatric AI therapy provider MGAI.</w:t>
      </w:r>
    </w:p>
    <w:p>
      <w:r>
        <w:rPr>
          <w:rFonts w:ascii="Calibri" w:hAnsi="Calibri"/>
          <w:b/>
          <w:color w:val="6E8450"/>
          <w:sz w:val="18"/>
        </w:rPr>
        <w:t>https://www.guardforceai.com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Guardforce is executing a genuine pivot from legacy secured logistics toward AI and robotics, with the AI/RaaS segment growing 15.3% in FY2025 to represent 13.4% of sales [1]. However, the transformation is early-stage — the legacy cash-in-transit business still dominates at 86.6% of revenue, and total revenue growth was only 8% to $35.2M. The March 2026 acquisition of pediatric AI therapy provider MGAI adds a new vertical but remains unproven. AI Deployment (1/2): Guardforce deploys AI-enabled robots for advertising, customer engagement, and concierge services under subscription models integrated with the Intelligent Cloud Platform (ICP) [2]. The DVGO AI agent was launched in 2025, and the MGAI acquisition brings AI therapy capabilities. Products are shipping but no specific AI-driven revenue gains or customer metrics are quantified. Market Share (0/2): No market leadership in any category. Guardforce is a small player in Thai secured logistics (a mature market) and a nascent participant in AI robotics with a $12M market cap. Product Pipeline (1/2): DVGO AI agent platform, MGAI pediatric AI therapy (acquired March 2026), and continued ICP expansion provide pipeline activity [1][3]. However, timelines are vague and revenue visibility is minimal. R&amp;D Intensity (1/1): R&amp;D spending increased 115% in FY2025, significantly above industry average for a company of this size, demonstrating genuine commitment to the AI pivot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Guardforce's stated mission to 'build AI agents as productivity infrastructure' and create a 'super assistant for both personal and the professionals to make better decisions' is specific and forward-looking [2]. It identifies a clear purpose beyond legacy cash management and connects the company's pivot to a broader technology vision. However, the mission is newly articulated and has not been validated by sustained execution — 86.6% of revenue still comes from legacy secured logistics. Community Impact (0/2): No evidence of charitable giving, community programs, or social investment found in public filings or press releases. Employee Retention (0/2): The company announced a 'bold executive team shakeup' to accelerate its robotics pivot, suggesting leadership instability rather than retention [2]. No employee tenure data or voluntary turnover metrics available for the Thai operations. Insider Buying (0/2): No insider buying data identified. CEO Lei (Olivia) Wang has led since 2019 and serves as Chairwoman since 2022, but no recent purchasing activity disclosed. Stock has declined significantly from earlier levels.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93,074 shares multiplied by stock price of $0.383 yields daily dollar volume of approximately $35,647, far below the $1,000,000 minimum threshold [4]. Infrastructure score is automatically set to 0. Underlying fundamentals show a company investing for transformation while still unprofitable: FY2025 net loss from continuing operations was $5.3M (narrowed 10.1% YoY) on revenue of $35.2M [1]. D/E of 6% is conservative reflecting low leverage, and current ratio of 5.32 indicates strong liquidity [4]. ROE of -16% and negative profit margins reflect the ongoing investment phase. Shares outstanding increased 113% due to dilution, a significant concern for existing shareholders. EBITDA improved 23.3% but remains negative at -$2.5M.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Guardforce AI shows emerging infinite game characteristics through its bold pivot from legacy cash logistics to AI and robotics, including a 115% increase in R&amp;D spending despite ongoing losses. However, the transformation is too early-stage to validate any Just Cause, leadership instability (executive team shakeup) undermines trust, and the company lacks the financial resources and organizational maturity for true infinite game positioning. The 43-year operating history in Thailand provides some foundation, but the recent strategic reinvention has not yet proven sustainable.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Guardforce's recently articulated purpose — 'build AI agents as productivity infrastructure' — is aspirational but shallow in Sinek's framework [2]. The cause hasn't been validated by execution (86.6% of revenue is still legacy cash logistics), leadership hasn't demonstrated willingness to sacrifice near-term results for this cause beyond R&amp;D spending increases, and the pivot from secured logistics to AI is as much about survival (cash-in-transit is a declining industry globally) as it is about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of organizational instability rather than trust. The company announced a 'bold executive team shakeup' to accelerate the robotics pivot [2], suggesting the existing team wasn't aligned with the new direction. In a company undergoing transformation, leadership changes create uncertainty and undermine psychological safety for employees navigating the shift from traditional security to AI/robotics.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in Sinek's framework. Guardforce does not publicly discuss rivals' strengths or use competitive dynamics for self-improvement. The company occupies a niche position (Thai secured logistics pivoting to AI) that doesn't lend itself to clear competitive benchmarking.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a 43-year-old secured logistics company to an AI and robotics platform is a meaningful strategic transformation [1][2]. Guardforce is actively investing (R&amp;D up 115%) to build new capabilities while the legacy business provides cash flow stability (99.96% recurring revenue). The MGAI acquisition extends into healthcare AI. However, this is still an incremental pivot — the legacy business dominates and the AI segment is small ($4.7M of $35.2M revenue).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Increasing R&amp;D spending 115% while the company is still unprofitable (net loss of $5.3M in FY2025) demonstrates willingness to invest for the future at the cost of near-term results [1]. The MGAI acquisition and executive team restructuring show leadership is willing to make disruptive changes. However, the $12M market cap limits the magnitude of what constitutes 'courageous' investment — the total R&amp;D budget is still modest in absolute terms.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Guardforce AI is executing a genuine but high-risk pivot from a 43-year-old Thai secured logistics company ($35.2M revenue, 86.6% from legacy cash management) toward an AI and robotics platform [1]. FY2025 showed encouraging signals: the AI/RaaS segment grew 15.3% to $4.7M, R&amp;D spending surged 115%, gross profit rose 7.5% to $5.3M, and the net loss narrowed 10.1% to $5.3M [1]. The March 2026 MGAI acquisition adds pediatric AI therapy capabilities, and the DVGO AI agent platform represents a nascent enterprise product [3]. CEO Olivia Wang's 7-year tenure provides strategic continuity, and the legacy business generates 99.96% recurring revenue providing transformation runway. The Inspire Impact Score of 30 (ALIGNED) recognizes positive Employee Wellbeing and Ethical Labor Practices.</w:t>
      </w:r>
    </w:p>
    <w:p>
      <w:pPr>
        <w:spacing w:after="120"/>
      </w:pPr>
      <w:r>
        <w:rPr>
          <w:rFonts w:ascii="Calibri" w:hAnsi="Calibri"/>
          <w:b w:val="0"/>
          <w:color w:val="3A4A28"/>
          <w:sz w:val="20"/>
        </w:rPr>
        <w:t>The investment case is fatally undermined by the liquidity floor: daily dollar volume of ~$35,600 is 97% below the $1M threshold, automatically forcing Infrastructure to 0 and making the stock effectively untradeable for institutional investors [4]. With a $12M market cap, shares outstanding diluted 113% (massive shareholder destruction), negative ROE of -16%, and negative EBITDA of -$2.5M, the company lacks the financial foundation to sustain its transformation [4]. The AI/RaaS segment, while growing at 15.3%, represents just $4.7M in revenue — insufficient to offset the declining relevance of cash-in-transit services globally. The executive team shakeup raises organizational stability concerns during a critical transformation period [2]. Speculative upside exists if the AI pivot gains traction and the company achieves profitability, but fundamental quality does not support IOWN ownership at current scale and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AI/RaaS segment accelerating past the 15.3% growth rate as DVGO AI agent and MGAI pediatric therapy scale, potentially reaching 20%+ of total revenue by FY2027</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through operating leverage — EBITDA improved 23.3% in FY2025 and further narrowing of losses could trigger rerating from the current 0.34x price-to-sales</w:t>
      </w:r>
    </w:p>
    <w:p>
      <w:pPr>
        <w:spacing w:before="40" w:after="40"/>
        <w:ind w:left="283"/>
      </w:pPr>
      <w:r>
        <w:rPr>
          <w:rFonts w:ascii="Calibri" w:hAnsi="Calibri"/>
          <w:b/>
          <w:color w:val="4A6B25"/>
          <w:sz w:val="20"/>
        </w:rPr>
        <w:t xml:space="preserve">3. </w:t>
      </w:r>
      <w:r>
        <w:rPr>
          <w:rFonts w:ascii="Calibri" w:hAnsi="Calibri"/>
          <w:b w:val="0"/>
          <w:color w:val="3A4A28"/>
          <w:sz w:val="20"/>
        </w:rPr>
        <w:t>Legacy secured logistics business providing stable recurring revenue (99.96% retention) to fund AI transformation without requiring external capital raises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TRIGGERED — daily dollar volume of ~$35,600 is 97% below the $1M minimum, making institutional ownership effectively impossible and Infrastructure score automatically 0</w:t>
      </w:r>
    </w:p>
    <w:p>
      <w:pPr>
        <w:spacing w:before="40" w:after="40"/>
        <w:ind w:left="283"/>
      </w:pPr>
      <w:r>
        <w:rPr>
          <w:rFonts w:ascii="Calibri" w:hAnsi="Calibri"/>
          <w:b/>
          <w:color w:val="4A6B25"/>
          <w:sz w:val="20"/>
        </w:rPr>
        <w:t xml:space="preserve">2. </w:t>
      </w:r>
      <w:r>
        <w:rPr>
          <w:rFonts w:ascii="Calibri" w:hAnsi="Calibri"/>
          <w:b w:val="0"/>
          <w:color w:val="3A4A28"/>
          <w:sz w:val="20"/>
        </w:rPr>
        <w:t>Massive shareholder dilution (113% increase in shares outstanding) destroys per-share economics even as the business improves, and further dilutive raises may be needed to fund the AI pivot</w:t>
      </w:r>
    </w:p>
    <w:p>
      <w:pPr>
        <w:spacing w:before="40" w:after="40"/>
        <w:ind w:left="283"/>
      </w:pPr>
      <w:r>
        <w:rPr>
          <w:rFonts w:ascii="Calibri" w:hAnsi="Calibri"/>
          <w:b/>
          <w:color w:val="4A6B25"/>
          <w:sz w:val="20"/>
        </w:rPr>
        <w:t xml:space="preserve">3. </w:t>
      </w:r>
      <w:r>
        <w:rPr>
          <w:rFonts w:ascii="Calibri" w:hAnsi="Calibri"/>
          <w:b w:val="0"/>
          <w:color w:val="3A4A28"/>
          <w:sz w:val="20"/>
        </w:rPr>
        <w:t>Legacy secured logistics (86.6% of revenue) faces secular headwinds from global cashless payment adoption, and the AI/RaaS segment at $4.7M is too small to offset if the legacy business declines faster than expected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Guardforce's legacy secured logistics business (86.6% of revenue) involves physical cash-in-transit, ATM management, and armored vehicle operations — services that require physical security personnel, specialized vehicles, and regulatory licenses that AI cannot substitute [1]. Cash handling in Thailand's still heavily cash-dependent economy creates structural demand independent of AI disruption. The retail services segment (point-of-sale, inventory management) faces moderate AI optimization risk but is protected by physical installation requirements. The company's proactive pivot toward AI and robotics positions it to be an AI adopter rather than an AI victim. AI Opportunity (1/1): Guardforce generates meaningful AI-related revenue through its AI, RaaS &amp; Smart Solutions segment, which grew 15.3% to represent 13.4% of total sales ($4.7M) in FY2025 [1]. The DVGO AI agent, MGAI pediatric AI therapy acquisition, and robot-as-a-service subscriptions represent concrete AI revenue streams. R&amp;D spending up 115% signals accelerating AI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Guardforce AI FY2025 Annual Results — Revenue $35.2M, Net Loss $5.3M, AI/RaaS Growth 15.3%, R&amp;D Up 115%, TipRanks/SEC Filing, April 2026</w:t>
      </w:r>
    </w:p>
    <w:p>
      <w:pPr>
        <w:spacing w:before="20" w:after="20"/>
        <w:ind w:left="170"/>
      </w:pPr>
      <w:r>
        <w:rPr>
          <w:rFonts w:ascii="Calibri" w:hAnsi="Calibri"/>
          <w:b/>
          <w:color w:val="4A6B25"/>
          <w:sz w:val="15"/>
        </w:rPr>
        <w:t xml:space="preserve">2. </w:t>
      </w:r>
      <w:r>
        <w:rPr>
          <w:rFonts w:ascii="Calibri" w:hAnsi="Calibri"/>
          <w:b w:val="0"/>
          <w:color w:val="3A4A28"/>
          <w:sz w:val="17"/>
        </w:rPr>
        <w:t>Guardforce AI Executive Team Restructuring and Company Profile — Proactive Investors and guardforceai.com, 2025-2026</w:t>
      </w:r>
    </w:p>
    <w:p>
      <w:pPr>
        <w:spacing w:before="20" w:after="20"/>
        <w:ind w:left="170"/>
      </w:pPr>
      <w:r>
        <w:rPr>
          <w:rFonts w:ascii="Calibri" w:hAnsi="Calibri"/>
          <w:b/>
          <w:color w:val="4A6B25"/>
          <w:sz w:val="15"/>
        </w:rPr>
        <w:t xml:space="preserve">3. </w:t>
      </w:r>
      <w:r>
        <w:rPr>
          <w:rFonts w:ascii="Calibri" w:hAnsi="Calibri"/>
          <w:b w:val="0"/>
          <w:color w:val="3A4A28"/>
          <w:sz w:val="17"/>
        </w:rPr>
        <w:t>Guardforce AI MGAI Acquisition and CEO Interview — Yahoo Finance, March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GFAI Key Statistics, Financial Ratios, and Market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